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ED153" w14:textId="77777777" w:rsidR="006E0334" w:rsidRDefault="00427027" w:rsidP="00893745">
      <w:pPr>
        <w:jc w:val="center"/>
        <w:rPr>
          <w:rFonts w:ascii="Arial" w:hAnsi="Arial" w:cs="Arial"/>
          <w:b/>
          <w:bCs/>
          <w:sz w:val="24"/>
          <w:szCs w:val="24"/>
        </w:rPr>
      </w:pPr>
      <w:r>
        <w:rPr>
          <w:rFonts w:ascii="Arial" w:hAnsi="Arial" w:cs="Arial"/>
          <w:b/>
          <w:bCs/>
          <w:sz w:val="24"/>
          <w:szCs w:val="24"/>
        </w:rPr>
        <w:t>Training and Competency Form</w:t>
      </w:r>
      <w:r w:rsidR="006B1BA6">
        <w:rPr>
          <w:rFonts w:ascii="Arial" w:hAnsi="Arial" w:cs="Arial"/>
          <w:b/>
          <w:bCs/>
          <w:sz w:val="24"/>
          <w:szCs w:val="24"/>
        </w:rPr>
        <w:t xml:space="preserve">: FACT-JACIE Standards, Version </w:t>
      </w:r>
      <w:r w:rsidR="00E11F2E">
        <w:rPr>
          <w:rFonts w:ascii="Arial" w:hAnsi="Arial" w:cs="Arial"/>
          <w:b/>
          <w:bCs/>
          <w:sz w:val="24"/>
          <w:szCs w:val="24"/>
        </w:rPr>
        <w:t>8</w:t>
      </w:r>
      <w:r w:rsidR="006B1BA6">
        <w:rPr>
          <w:rFonts w:ascii="Arial" w:hAnsi="Arial" w:cs="Arial"/>
          <w:b/>
          <w:bCs/>
          <w:sz w:val="24"/>
          <w:szCs w:val="24"/>
        </w:rPr>
        <w:t>.0</w:t>
      </w:r>
    </w:p>
    <w:p w14:paraId="0A4ED154" w14:textId="77777777" w:rsidR="00893745" w:rsidRDefault="00427027" w:rsidP="00893745">
      <w:pPr>
        <w:jc w:val="both"/>
        <w:rPr>
          <w:rFonts w:ascii="Arial" w:hAnsi="Arial" w:cs="Arial"/>
          <w:sz w:val="20"/>
          <w:szCs w:val="20"/>
        </w:rPr>
      </w:pPr>
      <w:r>
        <w:rPr>
          <w:rFonts w:ascii="Arial" w:hAnsi="Arial" w:cs="Arial"/>
          <w:sz w:val="20"/>
          <w:szCs w:val="20"/>
        </w:rPr>
        <w:t xml:space="preserve">This form is provided as a tool for documenting training and competency required of Clinical Program Directors, attending physicians, physicians-in-training, and advanced practice </w:t>
      </w:r>
      <w:r>
        <w:rPr>
          <w:rFonts w:ascii="Arial" w:hAnsi="Arial" w:cs="Arial"/>
          <w:sz w:val="20"/>
          <w:szCs w:val="20"/>
        </w:rPr>
        <w:t>providers/professionals (as applicable). Confirmation that training was provided and competency was assessed during the current accreditation cycle in each of the following areas must be provided to FACT prior to an on-site inspection. Equivalent documenta</w:t>
      </w:r>
      <w:r>
        <w:rPr>
          <w:rFonts w:ascii="Arial" w:hAnsi="Arial" w:cs="Arial"/>
          <w:sz w:val="20"/>
          <w:szCs w:val="20"/>
        </w:rPr>
        <w:t>tion is acceptable so long as all information below is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D62120" w14:paraId="0A4ED157" w14:textId="77777777" w:rsidTr="00694FBD">
        <w:trPr>
          <w:trHeight w:val="432"/>
        </w:trPr>
        <w:tc>
          <w:tcPr>
            <w:tcW w:w="985" w:type="dxa"/>
            <w:vAlign w:val="bottom"/>
          </w:tcPr>
          <w:p w14:paraId="0A4ED155" w14:textId="77777777" w:rsidR="00893745" w:rsidRDefault="00427027" w:rsidP="00694FBD">
            <w:pPr>
              <w:rPr>
                <w:rFonts w:ascii="Arial" w:hAnsi="Arial" w:cs="Arial"/>
                <w:sz w:val="20"/>
                <w:szCs w:val="20"/>
              </w:rPr>
            </w:pPr>
            <w:r>
              <w:rPr>
                <w:rFonts w:ascii="Arial" w:hAnsi="Arial" w:cs="Arial"/>
                <w:sz w:val="20"/>
                <w:szCs w:val="20"/>
              </w:rPr>
              <w:t>Name:</w:t>
            </w:r>
          </w:p>
        </w:tc>
        <w:tc>
          <w:tcPr>
            <w:tcW w:w="8365" w:type="dxa"/>
            <w:tcBorders>
              <w:bottom w:val="single" w:sz="4" w:space="0" w:color="auto"/>
            </w:tcBorders>
            <w:vAlign w:val="bottom"/>
          </w:tcPr>
          <w:p w14:paraId="0A4ED156" w14:textId="77777777" w:rsidR="00893745" w:rsidRDefault="00893745" w:rsidP="00694FBD">
            <w:pPr>
              <w:rPr>
                <w:rFonts w:ascii="Arial" w:hAnsi="Arial" w:cs="Arial"/>
                <w:sz w:val="20"/>
                <w:szCs w:val="20"/>
              </w:rPr>
            </w:pPr>
          </w:p>
        </w:tc>
      </w:tr>
      <w:tr w:rsidR="00D62120" w14:paraId="0A4ED15A" w14:textId="77777777" w:rsidTr="00694FBD">
        <w:trPr>
          <w:trHeight w:val="432"/>
        </w:trPr>
        <w:tc>
          <w:tcPr>
            <w:tcW w:w="985" w:type="dxa"/>
            <w:vAlign w:val="bottom"/>
          </w:tcPr>
          <w:p w14:paraId="0A4ED158" w14:textId="77777777" w:rsidR="00893745" w:rsidRDefault="00427027" w:rsidP="00694FBD">
            <w:pPr>
              <w:rPr>
                <w:rFonts w:ascii="Arial" w:hAnsi="Arial" w:cs="Arial"/>
                <w:sz w:val="20"/>
                <w:szCs w:val="20"/>
              </w:rPr>
            </w:pPr>
            <w:r>
              <w:rPr>
                <w:rFonts w:ascii="Arial" w:hAnsi="Arial" w:cs="Arial"/>
                <w:sz w:val="20"/>
                <w:szCs w:val="20"/>
              </w:rPr>
              <w:t>Position:</w:t>
            </w:r>
          </w:p>
        </w:tc>
        <w:tc>
          <w:tcPr>
            <w:tcW w:w="8365" w:type="dxa"/>
            <w:tcBorders>
              <w:top w:val="single" w:sz="4" w:space="0" w:color="auto"/>
              <w:bottom w:val="single" w:sz="4" w:space="0" w:color="auto"/>
            </w:tcBorders>
            <w:vAlign w:val="bottom"/>
          </w:tcPr>
          <w:p w14:paraId="0A4ED159" w14:textId="77777777" w:rsidR="00893745" w:rsidRDefault="00893745" w:rsidP="00694FBD">
            <w:pPr>
              <w:rPr>
                <w:rFonts w:ascii="Arial" w:hAnsi="Arial" w:cs="Arial"/>
                <w:sz w:val="20"/>
                <w:szCs w:val="20"/>
              </w:rPr>
            </w:pPr>
          </w:p>
        </w:tc>
      </w:tr>
    </w:tbl>
    <w:p w14:paraId="0A4ED15B" w14:textId="77777777" w:rsidR="00893745" w:rsidRDefault="00893745" w:rsidP="00893745">
      <w:pPr>
        <w:jc w:val="both"/>
        <w:rPr>
          <w:rFonts w:ascii="Arial" w:hAnsi="Arial" w:cs="Arial"/>
          <w:sz w:val="20"/>
          <w:szCs w:val="20"/>
        </w:rPr>
      </w:pPr>
    </w:p>
    <w:tbl>
      <w:tblPr>
        <w:tblStyle w:val="TableGrid"/>
        <w:tblW w:w="9445" w:type="dxa"/>
        <w:tblLook w:val="04A0" w:firstRow="1" w:lastRow="0" w:firstColumn="1" w:lastColumn="0" w:noHBand="0" w:noVBand="1"/>
      </w:tblPr>
      <w:tblGrid>
        <w:gridCol w:w="5848"/>
        <w:gridCol w:w="572"/>
        <w:gridCol w:w="483"/>
        <w:gridCol w:w="561"/>
        <w:gridCol w:w="1981"/>
      </w:tblGrid>
      <w:tr w:rsidR="00D62120" w14:paraId="0A4ED161" w14:textId="77777777" w:rsidTr="00C339A8">
        <w:trPr>
          <w:trHeight w:val="350"/>
          <w:tblHeader/>
        </w:trPr>
        <w:tc>
          <w:tcPr>
            <w:tcW w:w="5848" w:type="dxa"/>
            <w:shd w:val="clear" w:color="auto" w:fill="BFBFBF" w:themeFill="background1" w:themeFillShade="BF"/>
            <w:vAlign w:val="center"/>
          </w:tcPr>
          <w:p w14:paraId="0A4ED15C" w14:textId="77777777" w:rsidR="00694FBD" w:rsidRPr="00694FBD" w:rsidRDefault="00427027" w:rsidP="00694FBD">
            <w:pPr>
              <w:jc w:val="center"/>
              <w:rPr>
                <w:rFonts w:ascii="Arial" w:hAnsi="Arial" w:cs="Arial"/>
                <w:b/>
                <w:bCs/>
                <w:sz w:val="20"/>
                <w:szCs w:val="20"/>
              </w:rPr>
            </w:pPr>
            <w:r>
              <w:rPr>
                <w:rFonts w:ascii="Arial" w:hAnsi="Arial" w:cs="Arial"/>
                <w:b/>
                <w:bCs/>
                <w:sz w:val="20"/>
                <w:szCs w:val="20"/>
              </w:rPr>
              <w:t>Topic</w:t>
            </w:r>
          </w:p>
        </w:tc>
        <w:tc>
          <w:tcPr>
            <w:tcW w:w="572" w:type="dxa"/>
            <w:shd w:val="clear" w:color="auto" w:fill="BFBFBF" w:themeFill="background1" w:themeFillShade="BF"/>
            <w:vAlign w:val="center"/>
          </w:tcPr>
          <w:p w14:paraId="0A4ED15D" w14:textId="77777777" w:rsidR="00694FBD" w:rsidRPr="00694FBD" w:rsidRDefault="00427027" w:rsidP="00694FBD">
            <w:pPr>
              <w:jc w:val="center"/>
              <w:rPr>
                <w:rFonts w:ascii="Arial" w:hAnsi="Arial" w:cs="Arial"/>
                <w:b/>
                <w:bCs/>
                <w:sz w:val="20"/>
                <w:szCs w:val="20"/>
              </w:rPr>
            </w:pPr>
            <w:r>
              <w:rPr>
                <w:rFonts w:ascii="Arial" w:hAnsi="Arial" w:cs="Arial"/>
                <w:b/>
                <w:bCs/>
                <w:sz w:val="20"/>
                <w:szCs w:val="20"/>
              </w:rPr>
              <w:t>Yes</w:t>
            </w:r>
          </w:p>
        </w:tc>
        <w:tc>
          <w:tcPr>
            <w:tcW w:w="483" w:type="dxa"/>
            <w:shd w:val="clear" w:color="auto" w:fill="BFBFBF" w:themeFill="background1" w:themeFillShade="BF"/>
            <w:vAlign w:val="center"/>
          </w:tcPr>
          <w:p w14:paraId="0A4ED15E" w14:textId="77777777" w:rsidR="00694FBD" w:rsidRPr="00694FBD" w:rsidRDefault="00427027" w:rsidP="00694FBD">
            <w:pPr>
              <w:jc w:val="center"/>
              <w:rPr>
                <w:rFonts w:ascii="Arial" w:hAnsi="Arial" w:cs="Arial"/>
                <w:b/>
                <w:bCs/>
                <w:sz w:val="20"/>
                <w:szCs w:val="20"/>
              </w:rPr>
            </w:pPr>
            <w:r>
              <w:rPr>
                <w:rFonts w:ascii="Arial" w:hAnsi="Arial" w:cs="Arial"/>
                <w:b/>
                <w:bCs/>
                <w:sz w:val="20"/>
                <w:szCs w:val="20"/>
              </w:rPr>
              <w:t>No</w:t>
            </w:r>
          </w:p>
        </w:tc>
        <w:tc>
          <w:tcPr>
            <w:tcW w:w="561" w:type="dxa"/>
            <w:shd w:val="clear" w:color="auto" w:fill="BFBFBF" w:themeFill="background1" w:themeFillShade="BF"/>
            <w:vAlign w:val="center"/>
          </w:tcPr>
          <w:p w14:paraId="0A4ED15F" w14:textId="77777777" w:rsidR="00694FBD" w:rsidRPr="00694FBD" w:rsidRDefault="00427027" w:rsidP="00694FBD">
            <w:pPr>
              <w:jc w:val="center"/>
              <w:rPr>
                <w:rFonts w:ascii="Arial" w:hAnsi="Arial" w:cs="Arial"/>
                <w:b/>
                <w:bCs/>
                <w:sz w:val="20"/>
                <w:szCs w:val="20"/>
              </w:rPr>
            </w:pPr>
            <w:r>
              <w:rPr>
                <w:rFonts w:ascii="Arial" w:hAnsi="Arial" w:cs="Arial"/>
                <w:b/>
                <w:bCs/>
                <w:sz w:val="20"/>
                <w:szCs w:val="20"/>
              </w:rPr>
              <w:t>N/A</w:t>
            </w:r>
          </w:p>
        </w:tc>
        <w:tc>
          <w:tcPr>
            <w:tcW w:w="1981" w:type="dxa"/>
            <w:shd w:val="clear" w:color="auto" w:fill="BFBFBF" w:themeFill="background1" w:themeFillShade="BF"/>
            <w:vAlign w:val="center"/>
          </w:tcPr>
          <w:p w14:paraId="0A4ED160" w14:textId="77777777" w:rsidR="00694FBD" w:rsidRPr="00694FBD" w:rsidRDefault="00427027" w:rsidP="00694FBD">
            <w:pPr>
              <w:jc w:val="center"/>
              <w:rPr>
                <w:rFonts w:ascii="Arial" w:hAnsi="Arial" w:cs="Arial"/>
                <w:b/>
                <w:bCs/>
                <w:sz w:val="20"/>
                <w:szCs w:val="20"/>
              </w:rPr>
            </w:pPr>
            <w:r>
              <w:rPr>
                <w:rFonts w:ascii="Arial" w:hAnsi="Arial" w:cs="Arial"/>
                <w:b/>
                <w:bCs/>
                <w:sz w:val="20"/>
                <w:szCs w:val="20"/>
              </w:rPr>
              <w:t>Comment</w:t>
            </w:r>
          </w:p>
        </w:tc>
      </w:tr>
      <w:tr w:rsidR="00D62120" w14:paraId="0A4ED163" w14:textId="77777777" w:rsidTr="00BA5639">
        <w:trPr>
          <w:trHeight w:val="346"/>
        </w:trPr>
        <w:tc>
          <w:tcPr>
            <w:tcW w:w="9445" w:type="dxa"/>
            <w:gridSpan w:val="5"/>
          </w:tcPr>
          <w:p w14:paraId="0A4ED162" w14:textId="77777777" w:rsidR="00D9749D" w:rsidRPr="00694FBD" w:rsidRDefault="00427027" w:rsidP="00D9749D">
            <w:pPr>
              <w:rPr>
                <w:rFonts w:ascii="Arial" w:hAnsi="Arial" w:cs="Arial"/>
                <w:b/>
                <w:bCs/>
                <w:i/>
                <w:iCs/>
                <w:sz w:val="20"/>
                <w:szCs w:val="20"/>
              </w:rPr>
            </w:pPr>
            <w:r w:rsidRPr="00033B9A">
              <w:rPr>
                <w:rFonts w:ascii="Arial" w:hAnsi="Arial" w:cs="Arial"/>
                <w:b/>
                <w:bCs/>
                <w:i/>
                <w:iCs/>
                <w:sz w:val="20"/>
                <w:szCs w:val="20"/>
              </w:rPr>
              <w:t>Specific training in each of the following for both autologous and allogeneic transplantation:</w:t>
            </w:r>
          </w:p>
        </w:tc>
      </w:tr>
      <w:tr w:rsidR="00D62120" w14:paraId="0A4ED169" w14:textId="77777777" w:rsidTr="00BA5639">
        <w:trPr>
          <w:trHeight w:val="346"/>
        </w:trPr>
        <w:tc>
          <w:tcPr>
            <w:tcW w:w="5848" w:type="dxa"/>
          </w:tcPr>
          <w:p w14:paraId="0A4ED164" w14:textId="77777777" w:rsidR="00D9749D" w:rsidRDefault="00427027" w:rsidP="00D9749D">
            <w:pPr>
              <w:rPr>
                <w:rFonts w:ascii="Arial" w:hAnsi="Arial" w:cs="Arial"/>
                <w:sz w:val="20"/>
                <w:szCs w:val="20"/>
              </w:rPr>
            </w:pPr>
            <w:r w:rsidRPr="00033B9A">
              <w:rPr>
                <w:rFonts w:ascii="Arial" w:hAnsi="Arial" w:cs="Arial"/>
                <w:sz w:val="20"/>
                <w:szCs w:val="20"/>
              </w:rPr>
              <w:t xml:space="preserve">B3.3.4.1 Indications for allogeneic and </w:t>
            </w:r>
            <w:r w:rsidRPr="00033B9A">
              <w:rPr>
                <w:rFonts w:ascii="Arial" w:hAnsi="Arial" w:cs="Arial"/>
                <w:sz w:val="20"/>
                <w:szCs w:val="20"/>
              </w:rPr>
              <w:t>autologous HPC transplantation.</w:t>
            </w:r>
          </w:p>
        </w:tc>
        <w:tc>
          <w:tcPr>
            <w:tcW w:w="572" w:type="dxa"/>
          </w:tcPr>
          <w:p w14:paraId="0A4ED165" w14:textId="77777777" w:rsidR="00D9749D" w:rsidRDefault="00D9749D" w:rsidP="00D9749D">
            <w:pPr>
              <w:rPr>
                <w:rFonts w:ascii="Arial" w:hAnsi="Arial" w:cs="Arial"/>
                <w:sz w:val="20"/>
                <w:szCs w:val="20"/>
              </w:rPr>
            </w:pPr>
          </w:p>
        </w:tc>
        <w:tc>
          <w:tcPr>
            <w:tcW w:w="483" w:type="dxa"/>
          </w:tcPr>
          <w:p w14:paraId="0A4ED166" w14:textId="77777777" w:rsidR="00D9749D" w:rsidRDefault="00D9749D" w:rsidP="00D9749D">
            <w:pPr>
              <w:rPr>
                <w:rFonts w:ascii="Arial" w:hAnsi="Arial" w:cs="Arial"/>
                <w:sz w:val="20"/>
                <w:szCs w:val="20"/>
              </w:rPr>
            </w:pPr>
          </w:p>
        </w:tc>
        <w:tc>
          <w:tcPr>
            <w:tcW w:w="561" w:type="dxa"/>
          </w:tcPr>
          <w:p w14:paraId="0A4ED167" w14:textId="77777777" w:rsidR="00D9749D" w:rsidRDefault="00D9749D" w:rsidP="00D9749D">
            <w:pPr>
              <w:rPr>
                <w:rFonts w:ascii="Arial" w:hAnsi="Arial" w:cs="Arial"/>
                <w:sz w:val="20"/>
                <w:szCs w:val="20"/>
              </w:rPr>
            </w:pPr>
          </w:p>
        </w:tc>
        <w:tc>
          <w:tcPr>
            <w:tcW w:w="1981" w:type="dxa"/>
          </w:tcPr>
          <w:p w14:paraId="0A4ED168" w14:textId="77777777" w:rsidR="00D9749D" w:rsidRDefault="00D9749D" w:rsidP="00D9749D">
            <w:pPr>
              <w:rPr>
                <w:rFonts w:ascii="Arial" w:hAnsi="Arial" w:cs="Arial"/>
                <w:sz w:val="20"/>
                <w:szCs w:val="20"/>
              </w:rPr>
            </w:pPr>
          </w:p>
        </w:tc>
      </w:tr>
      <w:tr w:rsidR="00D62120" w14:paraId="0A4ED16F" w14:textId="77777777" w:rsidTr="00BA5639">
        <w:trPr>
          <w:trHeight w:val="346"/>
        </w:trPr>
        <w:tc>
          <w:tcPr>
            <w:tcW w:w="5848" w:type="dxa"/>
          </w:tcPr>
          <w:p w14:paraId="0A4ED16A" w14:textId="77777777" w:rsidR="00D9749D" w:rsidRDefault="00427027" w:rsidP="00D9749D">
            <w:pPr>
              <w:rPr>
                <w:rFonts w:ascii="Arial" w:hAnsi="Arial" w:cs="Arial"/>
                <w:sz w:val="20"/>
                <w:szCs w:val="20"/>
              </w:rPr>
            </w:pPr>
            <w:r w:rsidRPr="00033B9A">
              <w:rPr>
                <w:rFonts w:ascii="Arial" w:hAnsi="Arial" w:cs="Arial"/>
                <w:sz w:val="20"/>
                <w:szCs w:val="20"/>
              </w:rPr>
              <w:t>B3.3.4.2 Selection of suitable recipients and appropriate preparative regimens.</w:t>
            </w:r>
          </w:p>
        </w:tc>
        <w:tc>
          <w:tcPr>
            <w:tcW w:w="572" w:type="dxa"/>
          </w:tcPr>
          <w:p w14:paraId="0A4ED16B" w14:textId="77777777" w:rsidR="00D9749D" w:rsidRDefault="00D9749D" w:rsidP="00D9749D">
            <w:pPr>
              <w:rPr>
                <w:rFonts w:ascii="Arial" w:hAnsi="Arial" w:cs="Arial"/>
                <w:sz w:val="20"/>
                <w:szCs w:val="20"/>
              </w:rPr>
            </w:pPr>
          </w:p>
        </w:tc>
        <w:tc>
          <w:tcPr>
            <w:tcW w:w="483" w:type="dxa"/>
          </w:tcPr>
          <w:p w14:paraId="0A4ED16C" w14:textId="77777777" w:rsidR="00D9749D" w:rsidRDefault="00D9749D" w:rsidP="00D9749D">
            <w:pPr>
              <w:rPr>
                <w:rFonts w:ascii="Arial" w:hAnsi="Arial" w:cs="Arial"/>
                <w:sz w:val="20"/>
                <w:szCs w:val="20"/>
              </w:rPr>
            </w:pPr>
          </w:p>
        </w:tc>
        <w:tc>
          <w:tcPr>
            <w:tcW w:w="561" w:type="dxa"/>
          </w:tcPr>
          <w:p w14:paraId="0A4ED16D" w14:textId="77777777" w:rsidR="00D9749D" w:rsidRDefault="00D9749D" w:rsidP="00D9749D">
            <w:pPr>
              <w:rPr>
                <w:rFonts w:ascii="Arial" w:hAnsi="Arial" w:cs="Arial"/>
                <w:sz w:val="20"/>
                <w:szCs w:val="20"/>
              </w:rPr>
            </w:pPr>
          </w:p>
        </w:tc>
        <w:tc>
          <w:tcPr>
            <w:tcW w:w="1981" w:type="dxa"/>
          </w:tcPr>
          <w:p w14:paraId="0A4ED16E" w14:textId="77777777" w:rsidR="00D9749D" w:rsidRDefault="00D9749D" w:rsidP="00D9749D">
            <w:pPr>
              <w:rPr>
                <w:rFonts w:ascii="Arial" w:hAnsi="Arial" w:cs="Arial"/>
                <w:sz w:val="20"/>
                <w:szCs w:val="20"/>
              </w:rPr>
            </w:pPr>
          </w:p>
        </w:tc>
      </w:tr>
      <w:tr w:rsidR="00D62120" w14:paraId="0A4ED175" w14:textId="77777777" w:rsidTr="00BA5639">
        <w:trPr>
          <w:trHeight w:val="346"/>
        </w:trPr>
        <w:tc>
          <w:tcPr>
            <w:tcW w:w="5848" w:type="dxa"/>
          </w:tcPr>
          <w:p w14:paraId="0A4ED170" w14:textId="77777777" w:rsidR="00D9749D" w:rsidRDefault="00427027" w:rsidP="00D9749D">
            <w:pPr>
              <w:rPr>
                <w:rFonts w:ascii="Arial" w:hAnsi="Arial" w:cs="Arial"/>
                <w:sz w:val="20"/>
                <w:szCs w:val="20"/>
              </w:rPr>
            </w:pPr>
            <w:r w:rsidRPr="00033B9A">
              <w:rPr>
                <w:rFonts w:ascii="Arial" w:hAnsi="Arial" w:cs="Arial"/>
                <w:sz w:val="20"/>
                <w:szCs w:val="20"/>
              </w:rPr>
              <w:t>B3.3.4.3 Donor selection, evaluation, and management.</w:t>
            </w:r>
          </w:p>
        </w:tc>
        <w:tc>
          <w:tcPr>
            <w:tcW w:w="572" w:type="dxa"/>
          </w:tcPr>
          <w:p w14:paraId="0A4ED171" w14:textId="77777777" w:rsidR="00D9749D" w:rsidRDefault="00D9749D" w:rsidP="00D9749D">
            <w:pPr>
              <w:rPr>
                <w:rFonts w:ascii="Arial" w:hAnsi="Arial" w:cs="Arial"/>
                <w:sz w:val="20"/>
                <w:szCs w:val="20"/>
              </w:rPr>
            </w:pPr>
          </w:p>
        </w:tc>
        <w:tc>
          <w:tcPr>
            <w:tcW w:w="483" w:type="dxa"/>
          </w:tcPr>
          <w:p w14:paraId="0A4ED172" w14:textId="77777777" w:rsidR="00D9749D" w:rsidRDefault="00D9749D" w:rsidP="00D9749D">
            <w:pPr>
              <w:rPr>
                <w:rFonts w:ascii="Arial" w:hAnsi="Arial" w:cs="Arial"/>
                <w:sz w:val="20"/>
                <w:szCs w:val="20"/>
              </w:rPr>
            </w:pPr>
          </w:p>
        </w:tc>
        <w:tc>
          <w:tcPr>
            <w:tcW w:w="561" w:type="dxa"/>
          </w:tcPr>
          <w:p w14:paraId="0A4ED173" w14:textId="77777777" w:rsidR="00D9749D" w:rsidRDefault="00D9749D" w:rsidP="00D9749D">
            <w:pPr>
              <w:rPr>
                <w:rFonts w:ascii="Arial" w:hAnsi="Arial" w:cs="Arial"/>
                <w:sz w:val="20"/>
                <w:szCs w:val="20"/>
              </w:rPr>
            </w:pPr>
          </w:p>
        </w:tc>
        <w:tc>
          <w:tcPr>
            <w:tcW w:w="1981" w:type="dxa"/>
          </w:tcPr>
          <w:p w14:paraId="0A4ED174" w14:textId="77777777" w:rsidR="00D9749D" w:rsidRDefault="00D9749D" w:rsidP="00D9749D">
            <w:pPr>
              <w:rPr>
                <w:rFonts w:ascii="Arial" w:hAnsi="Arial" w:cs="Arial"/>
                <w:sz w:val="20"/>
                <w:szCs w:val="20"/>
              </w:rPr>
            </w:pPr>
          </w:p>
        </w:tc>
      </w:tr>
      <w:tr w:rsidR="00D62120" w14:paraId="0A4ED17B" w14:textId="77777777" w:rsidTr="00BA5639">
        <w:trPr>
          <w:trHeight w:val="346"/>
        </w:trPr>
        <w:tc>
          <w:tcPr>
            <w:tcW w:w="5848" w:type="dxa"/>
          </w:tcPr>
          <w:p w14:paraId="0A4ED176" w14:textId="77777777" w:rsidR="00D9749D" w:rsidRDefault="00427027" w:rsidP="00D9749D">
            <w:pPr>
              <w:rPr>
                <w:rFonts w:ascii="Arial" w:hAnsi="Arial" w:cs="Arial"/>
                <w:sz w:val="20"/>
                <w:szCs w:val="20"/>
              </w:rPr>
            </w:pPr>
            <w:r w:rsidRPr="00033B9A">
              <w:rPr>
                <w:rFonts w:ascii="Arial" w:hAnsi="Arial" w:cs="Arial"/>
                <w:sz w:val="20"/>
                <w:szCs w:val="20"/>
              </w:rPr>
              <w:t>B3.3.4.4 Donor and recipient informed consent.</w:t>
            </w:r>
          </w:p>
        </w:tc>
        <w:tc>
          <w:tcPr>
            <w:tcW w:w="572" w:type="dxa"/>
          </w:tcPr>
          <w:p w14:paraId="0A4ED177" w14:textId="77777777" w:rsidR="00D9749D" w:rsidRDefault="00D9749D" w:rsidP="00D9749D">
            <w:pPr>
              <w:rPr>
                <w:rFonts w:ascii="Arial" w:hAnsi="Arial" w:cs="Arial"/>
                <w:sz w:val="20"/>
                <w:szCs w:val="20"/>
              </w:rPr>
            </w:pPr>
          </w:p>
        </w:tc>
        <w:tc>
          <w:tcPr>
            <w:tcW w:w="483" w:type="dxa"/>
          </w:tcPr>
          <w:p w14:paraId="0A4ED178" w14:textId="77777777" w:rsidR="00D9749D" w:rsidRDefault="00D9749D" w:rsidP="00D9749D">
            <w:pPr>
              <w:rPr>
                <w:rFonts w:ascii="Arial" w:hAnsi="Arial" w:cs="Arial"/>
                <w:sz w:val="20"/>
                <w:szCs w:val="20"/>
              </w:rPr>
            </w:pPr>
          </w:p>
        </w:tc>
        <w:tc>
          <w:tcPr>
            <w:tcW w:w="561" w:type="dxa"/>
          </w:tcPr>
          <w:p w14:paraId="0A4ED179" w14:textId="77777777" w:rsidR="00D9749D" w:rsidRDefault="00D9749D" w:rsidP="00D9749D">
            <w:pPr>
              <w:rPr>
                <w:rFonts w:ascii="Arial" w:hAnsi="Arial" w:cs="Arial"/>
                <w:sz w:val="20"/>
                <w:szCs w:val="20"/>
              </w:rPr>
            </w:pPr>
          </w:p>
        </w:tc>
        <w:tc>
          <w:tcPr>
            <w:tcW w:w="1981" w:type="dxa"/>
          </w:tcPr>
          <w:p w14:paraId="0A4ED17A" w14:textId="77777777" w:rsidR="00D9749D" w:rsidRDefault="00D9749D" w:rsidP="00D9749D">
            <w:pPr>
              <w:rPr>
                <w:rFonts w:ascii="Arial" w:hAnsi="Arial" w:cs="Arial"/>
                <w:sz w:val="20"/>
                <w:szCs w:val="20"/>
              </w:rPr>
            </w:pPr>
          </w:p>
        </w:tc>
      </w:tr>
      <w:tr w:rsidR="00D62120" w14:paraId="0A4ED181" w14:textId="77777777" w:rsidTr="00BA5639">
        <w:trPr>
          <w:trHeight w:val="346"/>
        </w:trPr>
        <w:tc>
          <w:tcPr>
            <w:tcW w:w="5848" w:type="dxa"/>
          </w:tcPr>
          <w:p w14:paraId="0A4ED17C" w14:textId="77777777" w:rsidR="00D9749D" w:rsidRDefault="00427027" w:rsidP="00D9749D">
            <w:pPr>
              <w:rPr>
                <w:rFonts w:ascii="Arial" w:hAnsi="Arial" w:cs="Arial"/>
                <w:sz w:val="20"/>
                <w:szCs w:val="20"/>
              </w:rPr>
            </w:pPr>
            <w:r w:rsidRPr="00033B9A">
              <w:rPr>
                <w:rFonts w:ascii="Arial" w:hAnsi="Arial" w:cs="Arial"/>
                <w:sz w:val="20"/>
                <w:szCs w:val="20"/>
              </w:rPr>
              <w:t xml:space="preserve">B3.3.4.5 Administration of preparative regimens. </w:t>
            </w:r>
          </w:p>
        </w:tc>
        <w:tc>
          <w:tcPr>
            <w:tcW w:w="572" w:type="dxa"/>
          </w:tcPr>
          <w:p w14:paraId="0A4ED17D" w14:textId="77777777" w:rsidR="00D9749D" w:rsidRDefault="00D9749D" w:rsidP="00D9749D">
            <w:pPr>
              <w:rPr>
                <w:rFonts w:ascii="Arial" w:hAnsi="Arial" w:cs="Arial"/>
                <w:sz w:val="20"/>
                <w:szCs w:val="20"/>
              </w:rPr>
            </w:pPr>
          </w:p>
        </w:tc>
        <w:tc>
          <w:tcPr>
            <w:tcW w:w="483" w:type="dxa"/>
          </w:tcPr>
          <w:p w14:paraId="0A4ED17E" w14:textId="77777777" w:rsidR="00D9749D" w:rsidRDefault="00D9749D" w:rsidP="00D9749D">
            <w:pPr>
              <w:rPr>
                <w:rFonts w:ascii="Arial" w:hAnsi="Arial" w:cs="Arial"/>
                <w:sz w:val="20"/>
                <w:szCs w:val="20"/>
              </w:rPr>
            </w:pPr>
          </w:p>
        </w:tc>
        <w:tc>
          <w:tcPr>
            <w:tcW w:w="561" w:type="dxa"/>
          </w:tcPr>
          <w:p w14:paraId="0A4ED17F" w14:textId="77777777" w:rsidR="00D9749D" w:rsidRDefault="00D9749D" w:rsidP="00D9749D">
            <w:pPr>
              <w:rPr>
                <w:rFonts w:ascii="Arial" w:hAnsi="Arial" w:cs="Arial"/>
                <w:sz w:val="20"/>
                <w:szCs w:val="20"/>
              </w:rPr>
            </w:pPr>
          </w:p>
        </w:tc>
        <w:tc>
          <w:tcPr>
            <w:tcW w:w="1981" w:type="dxa"/>
          </w:tcPr>
          <w:p w14:paraId="0A4ED180" w14:textId="77777777" w:rsidR="00D9749D" w:rsidRDefault="00D9749D" w:rsidP="00D9749D">
            <w:pPr>
              <w:rPr>
                <w:rFonts w:ascii="Arial" w:hAnsi="Arial" w:cs="Arial"/>
                <w:sz w:val="20"/>
                <w:szCs w:val="20"/>
              </w:rPr>
            </w:pPr>
          </w:p>
        </w:tc>
      </w:tr>
      <w:tr w:rsidR="00D62120" w14:paraId="0A4ED187" w14:textId="77777777" w:rsidTr="00BA5639">
        <w:trPr>
          <w:trHeight w:val="346"/>
        </w:trPr>
        <w:tc>
          <w:tcPr>
            <w:tcW w:w="5848" w:type="dxa"/>
          </w:tcPr>
          <w:p w14:paraId="0A4ED182" w14:textId="77777777" w:rsidR="00D9749D" w:rsidRDefault="00427027" w:rsidP="00D9749D">
            <w:pPr>
              <w:rPr>
                <w:rFonts w:ascii="Arial" w:hAnsi="Arial" w:cs="Arial"/>
                <w:sz w:val="20"/>
                <w:szCs w:val="20"/>
              </w:rPr>
            </w:pPr>
            <w:r w:rsidRPr="00033B9A">
              <w:rPr>
                <w:rFonts w:ascii="Arial" w:hAnsi="Arial" w:cs="Arial"/>
                <w:sz w:val="20"/>
                <w:szCs w:val="20"/>
              </w:rPr>
              <w:t>B3.3.4.6 Administration of growth factors for HPC mobilization and for post-transplant hematopoietic cell reconstitution.</w:t>
            </w:r>
          </w:p>
        </w:tc>
        <w:tc>
          <w:tcPr>
            <w:tcW w:w="572" w:type="dxa"/>
          </w:tcPr>
          <w:p w14:paraId="0A4ED183" w14:textId="77777777" w:rsidR="00D9749D" w:rsidRDefault="00D9749D" w:rsidP="00D9749D">
            <w:pPr>
              <w:rPr>
                <w:rFonts w:ascii="Arial" w:hAnsi="Arial" w:cs="Arial"/>
                <w:sz w:val="20"/>
                <w:szCs w:val="20"/>
              </w:rPr>
            </w:pPr>
          </w:p>
        </w:tc>
        <w:tc>
          <w:tcPr>
            <w:tcW w:w="483" w:type="dxa"/>
          </w:tcPr>
          <w:p w14:paraId="0A4ED184" w14:textId="77777777" w:rsidR="00D9749D" w:rsidRDefault="00D9749D" w:rsidP="00D9749D">
            <w:pPr>
              <w:rPr>
                <w:rFonts w:ascii="Arial" w:hAnsi="Arial" w:cs="Arial"/>
                <w:sz w:val="20"/>
                <w:szCs w:val="20"/>
              </w:rPr>
            </w:pPr>
          </w:p>
        </w:tc>
        <w:tc>
          <w:tcPr>
            <w:tcW w:w="561" w:type="dxa"/>
          </w:tcPr>
          <w:p w14:paraId="0A4ED185" w14:textId="77777777" w:rsidR="00D9749D" w:rsidRDefault="00D9749D" w:rsidP="00D9749D">
            <w:pPr>
              <w:rPr>
                <w:rFonts w:ascii="Arial" w:hAnsi="Arial" w:cs="Arial"/>
                <w:sz w:val="20"/>
                <w:szCs w:val="20"/>
              </w:rPr>
            </w:pPr>
          </w:p>
        </w:tc>
        <w:tc>
          <w:tcPr>
            <w:tcW w:w="1981" w:type="dxa"/>
          </w:tcPr>
          <w:p w14:paraId="0A4ED186" w14:textId="77777777" w:rsidR="00D9749D" w:rsidRDefault="00D9749D" w:rsidP="00D9749D">
            <w:pPr>
              <w:rPr>
                <w:rFonts w:ascii="Arial" w:hAnsi="Arial" w:cs="Arial"/>
                <w:sz w:val="20"/>
                <w:szCs w:val="20"/>
              </w:rPr>
            </w:pPr>
          </w:p>
        </w:tc>
      </w:tr>
      <w:tr w:rsidR="00D62120" w14:paraId="0A4ED18D" w14:textId="77777777" w:rsidTr="00BA5639">
        <w:trPr>
          <w:trHeight w:val="346"/>
        </w:trPr>
        <w:tc>
          <w:tcPr>
            <w:tcW w:w="5848" w:type="dxa"/>
          </w:tcPr>
          <w:p w14:paraId="0A4ED188" w14:textId="77777777" w:rsidR="00D9749D" w:rsidRDefault="00427027" w:rsidP="00D9749D">
            <w:pPr>
              <w:rPr>
                <w:rFonts w:ascii="Arial" w:hAnsi="Arial" w:cs="Arial"/>
                <w:sz w:val="20"/>
                <w:szCs w:val="20"/>
              </w:rPr>
            </w:pPr>
            <w:r w:rsidRPr="00033B9A">
              <w:rPr>
                <w:rFonts w:ascii="Arial" w:hAnsi="Arial" w:cs="Arial"/>
                <w:sz w:val="20"/>
                <w:szCs w:val="20"/>
              </w:rPr>
              <w:t xml:space="preserve">B3.3.4.7 Administration of cellular therapy products, including HPC, </w:t>
            </w:r>
            <w:r w:rsidRPr="00033B9A">
              <w:rPr>
                <w:rFonts w:ascii="Arial" w:hAnsi="Arial" w:cs="Arial"/>
                <w:sz w:val="20"/>
                <w:szCs w:val="20"/>
              </w:rPr>
              <w:t>IEC, genetically modified cells, and other cellular therapies.</w:t>
            </w:r>
          </w:p>
        </w:tc>
        <w:tc>
          <w:tcPr>
            <w:tcW w:w="572" w:type="dxa"/>
          </w:tcPr>
          <w:p w14:paraId="0A4ED189" w14:textId="77777777" w:rsidR="00D9749D" w:rsidRDefault="00D9749D" w:rsidP="00D9749D">
            <w:pPr>
              <w:rPr>
                <w:rFonts w:ascii="Arial" w:hAnsi="Arial" w:cs="Arial"/>
                <w:sz w:val="20"/>
                <w:szCs w:val="20"/>
              </w:rPr>
            </w:pPr>
          </w:p>
        </w:tc>
        <w:tc>
          <w:tcPr>
            <w:tcW w:w="483" w:type="dxa"/>
          </w:tcPr>
          <w:p w14:paraId="0A4ED18A" w14:textId="77777777" w:rsidR="00D9749D" w:rsidRDefault="00D9749D" w:rsidP="00D9749D">
            <w:pPr>
              <w:rPr>
                <w:rFonts w:ascii="Arial" w:hAnsi="Arial" w:cs="Arial"/>
                <w:sz w:val="20"/>
                <w:szCs w:val="20"/>
              </w:rPr>
            </w:pPr>
          </w:p>
        </w:tc>
        <w:tc>
          <w:tcPr>
            <w:tcW w:w="561" w:type="dxa"/>
          </w:tcPr>
          <w:p w14:paraId="0A4ED18B" w14:textId="77777777" w:rsidR="00D9749D" w:rsidRDefault="00D9749D" w:rsidP="00D9749D">
            <w:pPr>
              <w:rPr>
                <w:rFonts w:ascii="Arial" w:hAnsi="Arial" w:cs="Arial"/>
                <w:sz w:val="20"/>
                <w:szCs w:val="20"/>
              </w:rPr>
            </w:pPr>
          </w:p>
        </w:tc>
        <w:tc>
          <w:tcPr>
            <w:tcW w:w="1981" w:type="dxa"/>
          </w:tcPr>
          <w:p w14:paraId="0A4ED18C" w14:textId="77777777" w:rsidR="00D9749D" w:rsidRDefault="00D9749D" w:rsidP="00D9749D">
            <w:pPr>
              <w:rPr>
                <w:rFonts w:ascii="Arial" w:hAnsi="Arial" w:cs="Arial"/>
                <w:sz w:val="20"/>
                <w:szCs w:val="20"/>
              </w:rPr>
            </w:pPr>
          </w:p>
        </w:tc>
      </w:tr>
      <w:tr w:rsidR="00D62120" w14:paraId="0A4ED193" w14:textId="77777777" w:rsidTr="00BA5639">
        <w:trPr>
          <w:trHeight w:val="346"/>
        </w:trPr>
        <w:tc>
          <w:tcPr>
            <w:tcW w:w="5848" w:type="dxa"/>
          </w:tcPr>
          <w:p w14:paraId="0A4ED18E" w14:textId="77777777" w:rsidR="00D9749D" w:rsidRDefault="00427027" w:rsidP="00D9749D">
            <w:pPr>
              <w:rPr>
                <w:rFonts w:ascii="Arial" w:hAnsi="Arial" w:cs="Arial"/>
                <w:sz w:val="20"/>
                <w:szCs w:val="20"/>
              </w:rPr>
            </w:pPr>
            <w:r w:rsidRPr="00033B9A">
              <w:rPr>
                <w:rFonts w:ascii="Arial" w:hAnsi="Arial" w:cs="Arial"/>
                <w:sz w:val="20"/>
                <w:szCs w:val="20"/>
              </w:rPr>
              <w:t xml:space="preserve">B3.3.4.8 Management of complications related to the administration of cellular therapy products. </w:t>
            </w:r>
          </w:p>
        </w:tc>
        <w:tc>
          <w:tcPr>
            <w:tcW w:w="572" w:type="dxa"/>
          </w:tcPr>
          <w:p w14:paraId="0A4ED18F" w14:textId="77777777" w:rsidR="00D9749D" w:rsidRDefault="00D9749D" w:rsidP="00D9749D">
            <w:pPr>
              <w:rPr>
                <w:rFonts w:ascii="Arial" w:hAnsi="Arial" w:cs="Arial"/>
                <w:sz w:val="20"/>
                <w:szCs w:val="20"/>
              </w:rPr>
            </w:pPr>
          </w:p>
        </w:tc>
        <w:tc>
          <w:tcPr>
            <w:tcW w:w="483" w:type="dxa"/>
          </w:tcPr>
          <w:p w14:paraId="0A4ED190" w14:textId="77777777" w:rsidR="00D9749D" w:rsidRDefault="00D9749D" w:rsidP="00D9749D">
            <w:pPr>
              <w:rPr>
                <w:rFonts w:ascii="Arial" w:hAnsi="Arial" w:cs="Arial"/>
                <w:sz w:val="20"/>
                <w:szCs w:val="20"/>
              </w:rPr>
            </w:pPr>
          </w:p>
        </w:tc>
        <w:tc>
          <w:tcPr>
            <w:tcW w:w="561" w:type="dxa"/>
          </w:tcPr>
          <w:p w14:paraId="0A4ED191" w14:textId="77777777" w:rsidR="00D9749D" w:rsidRDefault="00D9749D" w:rsidP="00D9749D">
            <w:pPr>
              <w:rPr>
                <w:rFonts w:ascii="Arial" w:hAnsi="Arial" w:cs="Arial"/>
                <w:sz w:val="20"/>
                <w:szCs w:val="20"/>
              </w:rPr>
            </w:pPr>
          </w:p>
        </w:tc>
        <w:tc>
          <w:tcPr>
            <w:tcW w:w="1981" w:type="dxa"/>
          </w:tcPr>
          <w:p w14:paraId="0A4ED192" w14:textId="77777777" w:rsidR="00D9749D" w:rsidRDefault="00D9749D" w:rsidP="00D9749D">
            <w:pPr>
              <w:rPr>
                <w:rFonts w:ascii="Arial" w:hAnsi="Arial" w:cs="Arial"/>
                <w:sz w:val="20"/>
                <w:szCs w:val="20"/>
              </w:rPr>
            </w:pPr>
          </w:p>
        </w:tc>
      </w:tr>
      <w:tr w:rsidR="00D62120" w14:paraId="0A4ED199" w14:textId="77777777" w:rsidTr="00BA5639">
        <w:trPr>
          <w:trHeight w:val="346"/>
        </w:trPr>
        <w:tc>
          <w:tcPr>
            <w:tcW w:w="5848" w:type="dxa"/>
          </w:tcPr>
          <w:p w14:paraId="0A4ED194" w14:textId="77777777" w:rsidR="00D9749D" w:rsidRDefault="00427027" w:rsidP="00D9749D">
            <w:pPr>
              <w:rPr>
                <w:rFonts w:ascii="Arial" w:hAnsi="Arial" w:cs="Arial"/>
                <w:sz w:val="20"/>
                <w:szCs w:val="20"/>
              </w:rPr>
            </w:pPr>
            <w:r w:rsidRPr="00033B9A">
              <w:rPr>
                <w:rFonts w:ascii="Arial" w:hAnsi="Arial" w:cs="Arial"/>
                <w:sz w:val="20"/>
                <w:szCs w:val="20"/>
              </w:rPr>
              <w:t xml:space="preserve">B3.3.4.9 Management of neutropenic fever. </w:t>
            </w:r>
          </w:p>
        </w:tc>
        <w:tc>
          <w:tcPr>
            <w:tcW w:w="572" w:type="dxa"/>
          </w:tcPr>
          <w:p w14:paraId="0A4ED195" w14:textId="77777777" w:rsidR="00D9749D" w:rsidRDefault="00D9749D" w:rsidP="00D9749D">
            <w:pPr>
              <w:rPr>
                <w:rFonts w:ascii="Arial" w:hAnsi="Arial" w:cs="Arial"/>
                <w:sz w:val="20"/>
                <w:szCs w:val="20"/>
              </w:rPr>
            </w:pPr>
          </w:p>
        </w:tc>
        <w:tc>
          <w:tcPr>
            <w:tcW w:w="483" w:type="dxa"/>
          </w:tcPr>
          <w:p w14:paraId="0A4ED196" w14:textId="77777777" w:rsidR="00D9749D" w:rsidRDefault="00D9749D" w:rsidP="00D9749D">
            <w:pPr>
              <w:rPr>
                <w:rFonts w:ascii="Arial" w:hAnsi="Arial" w:cs="Arial"/>
                <w:sz w:val="20"/>
                <w:szCs w:val="20"/>
              </w:rPr>
            </w:pPr>
          </w:p>
        </w:tc>
        <w:tc>
          <w:tcPr>
            <w:tcW w:w="561" w:type="dxa"/>
          </w:tcPr>
          <w:p w14:paraId="0A4ED197" w14:textId="77777777" w:rsidR="00D9749D" w:rsidRDefault="00D9749D" w:rsidP="00D9749D">
            <w:pPr>
              <w:rPr>
                <w:rFonts w:ascii="Arial" w:hAnsi="Arial" w:cs="Arial"/>
                <w:sz w:val="20"/>
                <w:szCs w:val="20"/>
              </w:rPr>
            </w:pPr>
          </w:p>
        </w:tc>
        <w:tc>
          <w:tcPr>
            <w:tcW w:w="1981" w:type="dxa"/>
          </w:tcPr>
          <w:p w14:paraId="0A4ED198" w14:textId="77777777" w:rsidR="00D9749D" w:rsidRDefault="00D9749D" w:rsidP="00D9749D">
            <w:pPr>
              <w:rPr>
                <w:rFonts w:ascii="Arial" w:hAnsi="Arial" w:cs="Arial"/>
                <w:sz w:val="20"/>
                <w:szCs w:val="20"/>
              </w:rPr>
            </w:pPr>
          </w:p>
        </w:tc>
      </w:tr>
      <w:tr w:rsidR="00D62120" w14:paraId="0A4ED19F" w14:textId="77777777" w:rsidTr="00BA5639">
        <w:trPr>
          <w:trHeight w:val="346"/>
        </w:trPr>
        <w:tc>
          <w:tcPr>
            <w:tcW w:w="5848" w:type="dxa"/>
          </w:tcPr>
          <w:p w14:paraId="0A4ED19A" w14:textId="77777777" w:rsidR="00D9749D" w:rsidRDefault="00427027" w:rsidP="00D9749D">
            <w:pPr>
              <w:rPr>
                <w:rFonts w:ascii="Arial" w:hAnsi="Arial" w:cs="Arial"/>
                <w:sz w:val="20"/>
                <w:szCs w:val="20"/>
              </w:rPr>
            </w:pPr>
            <w:r w:rsidRPr="00033B9A">
              <w:rPr>
                <w:rFonts w:ascii="Arial" w:hAnsi="Arial" w:cs="Arial"/>
                <w:sz w:val="20"/>
                <w:szCs w:val="20"/>
              </w:rPr>
              <w:t xml:space="preserve">B3.3.4.10 Diagnosis and </w:t>
            </w:r>
            <w:r w:rsidRPr="00033B9A">
              <w:rPr>
                <w:rFonts w:ascii="Arial" w:hAnsi="Arial" w:cs="Arial"/>
                <w:sz w:val="20"/>
                <w:szCs w:val="20"/>
              </w:rPr>
              <w:t>management of pulmonary complications.</w:t>
            </w:r>
          </w:p>
        </w:tc>
        <w:tc>
          <w:tcPr>
            <w:tcW w:w="572" w:type="dxa"/>
          </w:tcPr>
          <w:p w14:paraId="0A4ED19B" w14:textId="77777777" w:rsidR="00D9749D" w:rsidRDefault="00D9749D" w:rsidP="00D9749D">
            <w:pPr>
              <w:rPr>
                <w:rFonts w:ascii="Arial" w:hAnsi="Arial" w:cs="Arial"/>
                <w:sz w:val="20"/>
                <w:szCs w:val="20"/>
              </w:rPr>
            </w:pPr>
          </w:p>
        </w:tc>
        <w:tc>
          <w:tcPr>
            <w:tcW w:w="483" w:type="dxa"/>
          </w:tcPr>
          <w:p w14:paraId="0A4ED19C" w14:textId="77777777" w:rsidR="00D9749D" w:rsidRDefault="00D9749D" w:rsidP="00D9749D">
            <w:pPr>
              <w:rPr>
                <w:rFonts w:ascii="Arial" w:hAnsi="Arial" w:cs="Arial"/>
                <w:sz w:val="20"/>
                <w:szCs w:val="20"/>
              </w:rPr>
            </w:pPr>
          </w:p>
        </w:tc>
        <w:tc>
          <w:tcPr>
            <w:tcW w:w="561" w:type="dxa"/>
          </w:tcPr>
          <w:p w14:paraId="0A4ED19D" w14:textId="77777777" w:rsidR="00D9749D" w:rsidRDefault="00D9749D" w:rsidP="00D9749D">
            <w:pPr>
              <w:rPr>
                <w:rFonts w:ascii="Arial" w:hAnsi="Arial" w:cs="Arial"/>
                <w:sz w:val="20"/>
                <w:szCs w:val="20"/>
              </w:rPr>
            </w:pPr>
          </w:p>
        </w:tc>
        <w:tc>
          <w:tcPr>
            <w:tcW w:w="1981" w:type="dxa"/>
          </w:tcPr>
          <w:p w14:paraId="0A4ED19E" w14:textId="77777777" w:rsidR="00D9749D" w:rsidRDefault="00D9749D" w:rsidP="00D9749D">
            <w:pPr>
              <w:rPr>
                <w:rFonts w:ascii="Arial" w:hAnsi="Arial" w:cs="Arial"/>
                <w:sz w:val="20"/>
                <w:szCs w:val="20"/>
              </w:rPr>
            </w:pPr>
          </w:p>
        </w:tc>
      </w:tr>
      <w:tr w:rsidR="00D62120" w14:paraId="0A4ED1A5" w14:textId="77777777" w:rsidTr="00BA5639">
        <w:trPr>
          <w:trHeight w:val="346"/>
        </w:trPr>
        <w:tc>
          <w:tcPr>
            <w:tcW w:w="5848" w:type="dxa"/>
          </w:tcPr>
          <w:p w14:paraId="0A4ED1A0" w14:textId="77777777" w:rsidR="00D9749D" w:rsidRDefault="00427027" w:rsidP="00D9749D">
            <w:pPr>
              <w:rPr>
                <w:rFonts w:ascii="Arial" w:hAnsi="Arial" w:cs="Arial"/>
                <w:sz w:val="20"/>
                <w:szCs w:val="20"/>
              </w:rPr>
            </w:pPr>
            <w:r w:rsidRPr="00033B9A">
              <w:rPr>
                <w:rFonts w:ascii="Arial" w:hAnsi="Arial" w:cs="Arial"/>
                <w:sz w:val="20"/>
                <w:szCs w:val="20"/>
              </w:rPr>
              <w:t>B3.3.4.11 Diagnosis and management of fungal disease.</w:t>
            </w:r>
          </w:p>
        </w:tc>
        <w:tc>
          <w:tcPr>
            <w:tcW w:w="572" w:type="dxa"/>
          </w:tcPr>
          <w:p w14:paraId="0A4ED1A1" w14:textId="77777777" w:rsidR="00D9749D" w:rsidRDefault="00D9749D" w:rsidP="00D9749D">
            <w:pPr>
              <w:rPr>
                <w:rFonts w:ascii="Arial" w:hAnsi="Arial" w:cs="Arial"/>
                <w:sz w:val="20"/>
                <w:szCs w:val="20"/>
              </w:rPr>
            </w:pPr>
          </w:p>
        </w:tc>
        <w:tc>
          <w:tcPr>
            <w:tcW w:w="483" w:type="dxa"/>
          </w:tcPr>
          <w:p w14:paraId="0A4ED1A2" w14:textId="77777777" w:rsidR="00D9749D" w:rsidRDefault="00D9749D" w:rsidP="00D9749D">
            <w:pPr>
              <w:rPr>
                <w:rFonts w:ascii="Arial" w:hAnsi="Arial" w:cs="Arial"/>
                <w:sz w:val="20"/>
                <w:szCs w:val="20"/>
              </w:rPr>
            </w:pPr>
          </w:p>
        </w:tc>
        <w:tc>
          <w:tcPr>
            <w:tcW w:w="561" w:type="dxa"/>
          </w:tcPr>
          <w:p w14:paraId="0A4ED1A3" w14:textId="77777777" w:rsidR="00D9749D" w:rsidRDefault="00D9749D" w:rsidP="00D9749D">
            <w:pPr>
              <w:rPr>
                <w:rFonts w:ascii="Arial" w:hAnsi="Arial" w:cs="Arial"/>
                <w:sz w:val="20"/>
                <w:szCs w:val="20"/>
              </w:rPr>
            </w:pPr>
          </w:p>
        </w:tc>
        <w:tc>
          <w:tcPr>
            <w:tcW w:w="1981" w:type="dxa"/>
          </w:tcPr>
          <w:p w14:paraId="0A4ED1A4" w14:textId="77777777" w:rsidR="00D9749D" w:rsidRDefault="00D9749D" w:rsidP="00D9749D">
            <w:pPr>
              <w:rPr>
                <w:rFonts w:ascii="Arial" w:hAnsi="Arial" w:cs="Arial"/>
                <w:sz w:val="20"/>
                <w:szCs w:val="20"/>
              </w:rPr>
            </w:pPr>
          </w:p>
        </w:tc>
      </w:tr>
      <w:tr w:rsidR="00D62120" w14:paraId="0A4ED1AB" w14:textId="77777777" w:rsidTr="00BA5639">
        <w:trPr>
          <w:trHeight w:val="346"/>
        </w:trPr>
        <w:tc>
          <w:tcPr>
            <w:tcW w:w="5848" w:type="dxa"/>
          </w:tcPr>
          <w:p w14:paraId="0A4ED1A6" w14:textId="77777777" w:rsidR="00D9749D" w:rsidRDefault="00427027" w:rsidP="00D9749D">
            <w:pPr>
              <w:rPr>
                <w:rFonts w:ascii="Arial" w:hAnsi="Arial" w:cs="Arial"/>
                <w:sz w:val="20"/>
                <w:szCs w:val="20"/>
              </w:rPr>
            </w:pPr>
            <w:r w:rsidRPr="00033B9A">
              <w:rPr>
                <w:rFonts w:ascii="Arial" w:hAnsi="Arial" w:cs="Arial"/>
                <w:sz w:val="20"/>
                <w:szCs w:val="20"/>
              </w:rPr>
              <w:t>B3.3.4.12 Diagnosis and management of sinusoidal obstruction syndrome and other causes of hepatic dysfunction.</w:t>
            </w:r>
          </w:p>
        </w:tc>
        <w:tc>
          <w:tcPr>
            <w:tcW w:w="572" w:type="dxa"/>
          </w:tcPr>
          <w:p w14:paraId="0A4ED1A7" w14:textId="77777777" w:rsidR="00D9749D" w:rsidRDefault="00D9749D" w:rsidP="00D9749D">
            <w:pPr>
              <w:rPr>
                <w:rFonts w:ascii="Arial" w:hAnsi="Arial" w:cs="Arial"/>
                <w:sz w:val="20"/>
                <w:szCs w:val="20"/>
              </w:rPr>
            </w:pPr>
          </w:p>
        </w:tc>
        <w:tc>
          <w:tcPr>
            <w:tcW w:w="483" w:type="dxa"/>
          </w:tcPr>
          <w:p w14:paraId="0A4ED1A8" w14:textId="77777777" w:rsidR="00D9749D" w:rsidRDefault="00D9749D" w:rsidP="00D9749D">
            <w:pPr>
              <w:rPr>
                <w:rFonts w:ascii="Arial" w:hAnsi="Arial" w:cs="Arial"/>
                <w:sz w:val="20"/>
                <w:szCs w:val="20"/>
              </w:rPr>
            </w:pPr>
          </w:p>
        </w:tc>
        <w:tc>
          <w:tcPr>
            <w:tcW w:w="561" w:type="dxa"/>
          </w:tcPr>
          <w:p w14:paraId="0A4ED1A9" w14:textId="77777777" w:rsidR="00D9749D" w:rsidRDefault="00D9749D" w:rsidP="00D9749D">
            <w:pPr>
              <w:rPr>
                <w:rFonts w:ascii="Arial" w:hAnsi="Arial" w:cs="Arial"/>
                <w:sz w:val="20"/>
                <w:szCs w:val="20"/>
              </w:rPr>
            </w:pPr>
          </w:p>
        </w:tc>
        <w:tc>
          <w:tcPr>
            <w:tcW w:w="1981" w:type="dxa"/>
          </w:tcPr>
          <w:p w14:paraId="0A4ED1AA" w14:textId="77777777" w:rsidR="00D9749D" w:rsidRDefault="00D9749D" w:rsidP="00D9749D">
            <w:pPr>
              <w:rPr>
                <w:rFonts w:ascii="Arial" w:hAnsi="Arial" w:cs="Arial"/>
                <w:sz w:val="20"/>
                <w:szCs w:val="20"/>
              </w:rPr>
            </w:pPr>
          </w:p>
        </w:tc>
      </w:tr>
      <w:tr w:rsidR="00D62120" w14:paraId="0A4ED1B1" w14:textId="77777777" w:rsidTr="00BA5639">
        <w:trPr>
          <w:trHeight w:val="346"/>
        </w:trPr>
        <w:tc>
          <w:tcPr>
            <w:tcW w:w="5848" w:type="dxa"/>
          </w:tcPr>
          <w:p w14:paraId="0A4ED1AC" w14:textId="77777777" w:rsidR="00D9749D" w:rsidRDefault="00427027" w:rsidP="00D9749D">
            <w:pPr>
              <w:rPr>
                <w:rFonts w:ascii="Arial" w:hAnsi="Arial" w:cs="Arial"/>
                <w:sz w:val="20"/>
                <w:szCs w:val="20"/>
              </w:rPr>
            </w:pPr>
            <w:r w:rsidRPr="00033B9A">
              <w:rPr>
                <w:rFonts w:ascii="Arial" w:hAnsi="Arial" w:cs="Arial"/>
                <w:sz w:val="20"/>
                <w:szCs w:val="20"/>
              </w:rPr>
              <w:t>B3.3.4.13 Management of thrombocytopenia and bleeding, including recognition of disseminated intravascular coagulation.</w:t>
            </w:r>
          </w:p>
        </w:tc>
        <w:tc>
          <w:tcPr>
            <w:tcW w:w="572" w:type="dxa"/>
          </w:tcPr>
          <w:p w14:paraId="0A4ED1AD" w14:textId="77777777" w:rsidR="00D9749D" w:rsidRDefault="00D9749D" w:rsidP="00D9749D">
            <w:pPr>
              <w:rPr>
                <w:rFonts w:ascii="Arial" w:hAnsi="Arial" w:cs="Arial"/>
                <w:sz w:val="20"/>
                <w:szCs w:val="20"/>
              </w:rPr>
            </w:pPr>
          </w:p>
        </w:tc>
        <w:tc>
          <w:tcPr>
            <w:tcW w:w="483" w:type="dxa"/>
          </w:tcPr>
          <w:p w14:paraId="0A4ED1AE" w14:textId="77777777" w:rsidR="00D9749D" w:rsidRDefault="00D9749D" w:rsidP="00D9749D">
            <w:pPr>
              <w:rPr>
                <w:rFonts w:ascii="Arial" w:hAnsi="Arial" w:cs="Arial"/>
                <w:sz w:val="20"/>
                <w:szCs w:val="20"/>
              </w:rPr>
            </w:pPr>
          </w:p>
        </w:tc>
        <w:tc>
          <w:tcPr>
            <w:tcW w:w="561" w:type="dxa"/>
          </w:tcPr>
          <w:p w14:paraId="0A4ED1AF" w14:textId="77777777" w:rsidR="00D9749D" w:rsidRDefault="00D9749D" w:rsidP="00D9749D">
            <w:pPr>
              <w:rPr>
                <w:rFonts w:ascii="Arial" w:hAnsi="Arial" w:cs="Arial"/>
                <w:sz w:val="20"/>
                <w:szCs w:val="20"/>
              </w:rPr>
            </w:pPr>
          </w:p>
        </w:tc>
        <w:tc>
          <w:tcPr>
            <w:tcW w:w="1981" w:type="dxa"/>
          </w:tcPr>
          <w:p w14:paraId="0A4ED1B0" w14:textId="77777777" w:rsidR="00D9749D" w:rsidRDefault="00D9749D" w:rsidP="00D9749D">
            <w:pPr>
              <w:rPr>
                <w:rFonts w:ascii="Arial" w:hAnsi="Arial" w:cs="Arial"/>
                <w:sz w:val="20"/>
                <w:szCs w:val="20"/>
              </w:rPr>
            </w:pPr>
          </w:p>
        </w:tc>
      </w:tr>
      <w:tr w:rsidR="00D62120" w14:paraId="0A4ED1B7" w14:textId="77777777" w:rsidTr="00BA5639">
        <w:trPr>
          <w:trHeight w:val="346"/>
        </w:trPr>
        <w:tc>
          <w:tcPr>
            <w:tcW w:w="5848" w:type="dxa"/>
          </w:tcPr>
          <w:p w14:paraId="0A4ED1B2" w14:textId="77777777" w:rsidR="00D9749D" w:rsidRDefault="00427027" w:rsidP="00D9749D">
            <w:pPr>
              <w:rPr>
                <w:rFonts w:ascii="Arial" w:hAnsi="Arial" w:cs="Arial"/>
                <w:sz w:val="20"/>
                <w:szCs w:val="20"/>
              </w:rPr>
            </w:pPr>
            <w:r w:rsidRPr="00033B9A">
              <w:rPr>
                <w:rFonts w:ascii="Arial" w:hAnsi="Arial" w:cs="Arial"/>
                <w:sz w:val="20"/>
                <w:szCs w:val="20"/>
              </w:rPr>
              <w:t>B3.3.4.14 Management of hemorrhagic cystitis.</w:t>
            </w:r>
          </w:p>
        </w:tc>
        <w:tc>
          <w:tcPr>
            <w:tcW w:w="572" w:type="dxa"/>
          </w:tcPr>
          <w:p w14:paraId="0A4ED1B3" w14:textId="77777777" w:rsidR="00D9749D" w:rsidRDefault="00D9749D" w:rsidP="00D9749D">
            <w:pPr>
              <w:rPr>
                <w:rFonts w:ascii="Arial" w:hAnsi="Arial" w:cs="Arial"/>
                <w:sz w:val="20"/>
                <w:szCs w:val="20"/>
              </w:rPr>
            </w:pPr>
          </w:p>
        </w:tc>
        <w:tc>
          <w:tcPr>
            <w:tcW w:w="483" w:type="dxa"/>
          </w:tcPr>
          <w:p w14:paraId="0A4ED1B4" w14:textId="77777777" w:rsidR="00D9749D" w:rsidRDefault="00D9749D" w:rsidP="00D9749D">
            <w:pPr>
              <w:rPr>
                <w:rFonts w:ascii="Arial" w:hAnsi="Arial" w:cs="Arial"/>
                <w:sz w:val="20"/>
                <w:szCs w:val="20"/>
              </w:rPr>
            </w:pPr>
          </w:p>
        </w:tc>
        <w:tc>
          <w:tcPr>
            <w:tcW w:w="561" w:type="dxa"/>
          </w:tcPr>
          <w:p w14:paraId="0A4ED1B5" w14:textId="77777777" w:rsidR="00D9749D" w:rsidRDefault="00D9749D" w:rsidP="00D9749D">
            <w:pPr>
              <w:rPr>
                <w:rFonts w:ascii="Arial" w:hAnsi="Arial" w:cs="Arial"/>
                <w:sz w:val="20"/>
                <w:szCs w:val="20"/>
              </w:rPr>
            </w:pPr>
          </w:p>
        </w:tc>
        <w:tc>
          <w:tcPr>
            <w:tcW w:w="1981" w:type="dxa"/>
          </w:tcPr>
          <w:p w14:paraId="0A4ED1B6" w14:textId="77777777" w:rsidR="00D9749D" w:rsidRDefault="00D9749D" w:rsidP="00D9749D">
            <w:pPr>
              <w:rPr>
                <w:rFonts w:ascii="Arial" w:hAnsi="Arial" w:cs="Arial"/>
                <w:sz w:val="20"/>
                <w:szCs w:val="20"/>
              </w:rPr>
            </w:pPr>
          </w:p>
        </w:tc>
      </w:tr>
      <w:tr w:rsidR="00D62120" w14:paraId="0A4ED1BD" w14:textId="77777777" w:rsidTr="00BA5639">
        <w:trPr>
          <w:trHeight w:val="346"/>
        </w:trPr>
        <w:tc>
          <w:tcPr>
            <w:tcW w:w="5848" w:type="dxa"/>
          </w:tcPr>
          <w:p w14:paraId="0A4ED1B8" w14:textId="77777777" w:rsidR="00D9749D" w:rsidRDefault="00427027" w:rsidP="00D9749D">
            <w:pPr>
              <w:rPr>
                <w:rFonts w:ascii="Arial" w:hAnsi="Arial" w:cs="Arial"/>
                <w:sz w:val="20"/>
                <w:szCs w:val="20"/>
              </w:rPr>
            </w:pPr>
            <w:r w:rsidRPr="00033B9A">
              <w:rPr>
                <w:rFonts w:ascii="Arial" w:hAnsi="Arial" w:cs="Arial"/>
                <w:sz w:val="20"/>
                <w:szCs w:val="20"/>
              </w:rPr>
              <w:t xml:space="preserve">B3.3.4.15 Management of blood transfusion, including the use of CMV appropriate </w:t>
            </w:r>
            <w:r w:rsidRPr="00033B9A">
              <w:rPr>
                <w:rFonts w:ascii="Arial" w:hAnsi="Arial" w:cs="Arial"/>
                <w:sz w:val="20"/>
                <w:szCs w:val="20"/>
              </w:rPr>
              <w:t>and irradiated (or equivalent) blood products.</w:t>
            </w:r>
          </w:p>
        </w:tc>
        <w:tc>
          <w:tcPr>
            <w:tcW w:w="572" w:type="dxa"/>
          </w:tcPr>
          <w:p w14:paraId="0A4ED1B9" w14:textId="77777777" w:rsidR="00D9749D" w:rsidRDefault="00D9749D" w:rsidP="00D9749D">
            <w:pPr>
              <w:rPr>
                <w:rFonts w:ascii="Arial" w:hAnsi="Arial" w:cs="Arial"/>
                <w:sz w:val="20"/>
                <w:szCs w:val="20"/>
              </w:rPr>
            </w:pPr>
          </w:p>
        </w:tc>
        <w:tc>
          <w:tcPr>
            <w:tcW w:w="483" w:type="dxa"/>
          </w:tcPr>
          <w:p w14:paraId="0A4ED1BA" w14:textId="77777777" w:rsidR="00D9749D" w:rsidRDefault="00D9749D" w:rsidP="00D9749D">
            <w:pPr>
              <w:rPr>
                <w:rFonts w:ascii="Arial" w:hAnsi="Arial" w:cs="Arial"/>
                <w:sz w:val="20"/>
                <w:szCs w:val="20"/>
              </w:rPr>
            </w:pPr>
          </w:p>
        </w:tc>
        <w:tc>
          <w:tcPr>
            <w:tcW w:w="561" w:type="dxa"/>
          </w:tcPr>
          <w:p w14:paraId="0A4ED1BB" w14:textId="77777777" w:rsidR="00D9749D" w:rsidRDefault="00D9749D" w:rsidP="00D9749D">
            <w:pPr>
              <w:rPr>
                <w:rFonts w:ascii="Arial" w:hAnsi="Arial" w:cs="Arial"/>
                <w:sz w:val="20"/>
                <w:szCs w:val="20"/>
              </w:rPr>
            </w:pPr>
          </w:p>
        </w:tc>
        <w:tc>
          <w:tcPr>
            <w:tcW w:w="1981" w:type="dxa"/>
          </w:tcPr>
          <w:p w14:paraId="0A4ED1BC" w14:textId="77777777" w:rsidR="00D9749D" w:rsidRDefault="00D9749D" w:rsidP="00D9749D">
            <w:pPr>
              <w:rPr>
                <w:rFonts w:ascii="Arial" w:hAnsi="Arial" w:cs="Arial"/>
                <w:sz w:val="20"/>
                <w:szCs w:val="20"/>
              </w:rPr>
            </w:pPr>
          </w:p>
        </w:tc>
      </w:tr>
      <w:tr w:rsidR="00D62120" w14:paraId="0A4ED1C3" w14:textId="77777777" w:rsidTr="00BA5639">
        <w:trPr>
          <w:trHeight w:val="346"/>
        </w:trPr>
        <w:tc>
          <w:tcPr>
            <w:tcW w:w="5848" w:type="dxa"/>
          </w:tcPr>
          <w:p w14:paraId="0A4ED1BE" w14:textId="77777777" w:rsidR="00D9749D" w:rsidRDefault="00427027" w:rsidP="00D9749D">
            <w:pPr>
              <w:rPr>
                <w:rFonts w:ascii="Arial" w:hAnsi="Arial" w:cs="Arial"/>
                <w:sz w:val="20"/>
                <w:szCs w:val="20"/>
              </w:rPr>
            </w:pPr>
            <w:r w:rsidRPr="00033B9A">
              <w:rPr>
                <w:rFonts w:ascii="Arial" w:hAnsi="Arial" w:cs="Arial"/>
                <w:sz w:val="20"/>
                <w:szCs w:val="20"/>
              </w:rPr>
              <w:t>B3.3.4.16 Monitoring and management of mucositis.</w:t>
            </w:r>
          </w:p>
        </w:tc>
        <w:tc>
          <w:tcPr>
            <w:tcW w:w="572" w:type="dxa"/>
          </w:tcPr>
          <w:p w14:paraId="0A4ED1BF" w14:textId="77777777" w:rsidR="00D9749D" w:rsidRDefault="00D9749D" w:rsidP="00D9749D">
            <w:pPr>
              <w:rPr>
                <w:rFonts w:ascii="Arial" w:hAnsi="Arial" w:cs="Arial"/>
                <w:sz w:val="20"/>
                <w:szCs w:val="20"/>
              </w:rPr>
            </w:pPr>
          </w:p>
        </w:tc>
        <w:tc>
          <w:tcPr>
            <w:tcW w:w="483" w:type="dxa"/>
          </w:tcPr>
          <w:p w14:paraId="0A4ED1C0" w14:textId="77777777" w:rsidR="00D9749D" w:rsidRDefault="00D9749D" w:rsidP="00D9749D">
            <w:pPr>
              <w:rPr>
                <w:rFonts w:ascii="Arial" w:hAnsi="Arial" w:cs="Arial"/>
                <w:sz w:val="20"/>
                <w:szCs w:val="20"/>
              </w:rPr>
            </w:pPr>
          </w:p>
        </w:tc>
        <w:tc>
          <w:tcPr>
            <w:tcW w:w="561" w:type="dxa"/>
          </w:tcPr>
          <w:p w14:paraId="0A4ED1C1" w14:textId="77777777" w:rsidR="00D9749D" w:rsidRDefault="00D9749D" w:rsidP="00D9749D">
            <w:pPr>
              <w:rPr>
                <w:rFonts w:ascii="Arial" w:hAnsi="Arial" w:cs="Arial"/>
                <w:sz w:val="20"/>
                <w:szCs w:val="20"/>
              </w:rPr>
            </w:pPr>
          </w:p>
        </w:tc>
        <w:tc>
          <w:tcPr>
            <w:tcW w:w="1981" w:type="dxa"/>
          </w:tcPr>
          <w:p w14:paraId="0A4ED1C2" w14:textId="77777777" w:rsidR="00D9749D" w:rsidRDefault="00D9749D" w:rsidP="00D9749D">
            <w:pPr>
              <w:rPr>
                <w:rFonts w:ascii="Arial" w:hAnsi="Arial" w:cs="Arial"/>
                <w:sz w:val="20"/>
                <w:szCs w:val="20"/>
              </w:rPr>
            </w:pPr>
          </w:p>
        </w:tc>
      </w:tr>
      <w:tr w:rsidR="00D62120" w14:paraId="0A4ED1C9" w14:textId="77777777" w:rsidTr="00BA5639">
        <w:trPr>
          <w:trHeight w:val="346"/>
        </w:trPr>
        <w:tc>
          <w:tcPr>
            <w:tcW w:w="5848" w:type="dxa"/>
          </w:tcPr>
          <w:p w14:paraId="0A4ED1C4" w14:textId="77777777" w:rsidR="00D9749D" w:rsidRDefault="00427027" w:rsidP="00D9749D">
            <w:pPr>
              <w:rPr>
                <w:rFonts w:ascii="Arial" w:hAnsi="Arial" w:cs="Arial"/>
                <w:sz w:val="20"/>
                <w:szCs w:val="20"/>
              </w:rPr>
            </w:pPr>
            <w:r w:rsidRPr="00033B9A">
              <w:rPr>
                <w:rFonts w:ascii="Arial" w:hAnsi="Arial" w:cs="Arial"/>
                <w:sz w:val="20"/>
                <w:szCs w:val="20"/>
              </w:rPr>
              <w:t>B3.3.4.17 Monitoring and management of gastrointestinal complications.</w:t>
            </w:r>
          </w:p>
        </w:tc>
        <w:tc>
          <w:tcPr>
            <w:tcW w:w="572" w:type="dxa"/>
          </w:tcPr>
          <w:p w14:paraId="0A4ED1C5" w14:textId="77777777" w:rsidR="00D9749D" w:rsidRDefault="00D9749D" w:rsidP="00D9749D">
            <w:pPr>
              <w:rPr>
                <w:rFonts w:ascii="Arial" w:hAnsi="Arial" w:cs="Arial"/>
                <w:sz w:val="20"/>
                <w:szCs w:val="20"/>
              </w:rPr>
            </w:pPr>
          </w:p>
        </w:tc>
        <w:tc>
          <w:tcPr>
            <w:tcW w:w="483" w:type="dxa"/>
          </w:tcPr>
          <w:p w14:paraId="0A4ED1C6" w14:textId="77777777" w:rsidR="00D9749D" w:rsidRDefault="00D9749D" w:rsidP="00D9749D">
            <w:pPr>
              <w:rPr>
                <w:rFonts w:ascii="Arial" w:hAnsi="Arial" w:cs="Arial"/>
                <w:sz w:val="20"/>
                <w:szCs w:val="20"/>
              </w:rPr>
            </w:pPr>
          </w:p>
        </w:tc>
        <w:tc>
          <w:tcPr>
            <w:tcW w:w="561" w:type="dxa"/>
          </w:tcPr>
          <w:p w14:paraId="0A4ED1C7" w14:textId="77777777" w:rsidR="00D9749D" w:rsidRDefault="00D9749D" w:rsidP="00D9749D">
            <w:pPr>
              <w:rPr>
                <w:rFonts w:ascii="Arial" w:hAnsi="Arial" w:cs="Arial"/>
                <w:sz w:val="20"/>
                <w:szCs w:val="20"/>
              </w:rPr>
            </w:pPr>
          </w:p>
        </w:tc>
        <w:tc>
          <w:tcPr>
            <w:tcW w:w="1981" w:type="dxa"/>
          </w:tcPr>
          <w:p w14:paraId="0A4ED1C8" w14:textId="77777777" w:rsidR="00D9749D" w:rsidRDefault="00D9749D" w:rsidP="00D9749D">
            <w:pPr>
              <w:rPr>
                <w:rFonts w:ascii="Arial" w:hAnsi="Arial" w:cs="Arial"/>
                <w:sz w:val="20"/>
                <w:szCs w:val="20"/>
              </w:rPr>
            </w:pPr>
          </w:p>
        </w:tc>
      </w:tr>
      <w:tr w:rsidR="00D62120" w14:paraId="0A4ED1CF" w14:textId="77777777" w:rsidTr="00BA5639">
        <w:trPr>
          <w:trHeight w:val="346"/>
        </w:trPr>
        <w:tc>
          <w:tcPr>
            <w:tcW w:w="5848" w:type="dxa"/>
          </w:tcPr>
          <w:p w14:paraId="0A4ED1CA" w14:textId="77777777" w:rsidR="00D9749D" w:rsidRDefault="00427027" w:rsidP="00D9749D">
            <w:pPr>
              <w:rPr>
                <w:rFonts w:ascii="Arial" w:hAnsi="Arial" w:cs="Arial"/>
                <w:sz w:val="20"/>
                <w:szCs w:val="20"/>
              </w:rPr>
            </w:pPr>
            <w:r w:rsidRPr="00033B9A">
              <w:rPr>
                <w:rFonts w:ascii="Arial" w:hAnsi="Arial" w:cs="Arial"/>
                <w:sz w:val="20"/>
                <w:szCs w:val="20"/>
              </w:rPr>
              <w:t>B3.3.4.18 Monitoring and management of pain.</w:t>
            </w:r>
          </w:p>
        </w:tc>
        <w:tc>
          <w:tcPr>
            <w:tcW w:w="572" w:type="dxa"/>
          </w:tcPr>
          <w:p w14:paraId="0A4ED1CB" w14:textId="77777777" w:rsidR="00D9749D" w:rsidRDefault="00D9749D" w:rsidP="00D9749D">
            <w:pPr>
              <w:rPr>
                <w:rFonts w:ascii="Arial" w:hAnsi="Arial" w:cs="Arial"/>
                <w:sz w:val="20"/>
                <w:szCs w:val="20"/>
              </w:rPr>
            </w:pPr>
          </w:p>
        </w:tc>
        <w:tc>
          <w:tcPr>
            <w:tcW w:w="483" w:type="dxa"/>
          </w:tcPr>
          <w:p w14:paraId="0A4ED1CC" w14:textId="77777777" w:rsidR="00D9749D" w:rsidRDefault="00D9749D" w:rsidP="00D9749D">
            <w:pPr>
              <w:rPr>
                <w:rFonts w:ascii="Arial" w:hAnsi="Arial" w:cs="Arial"/>
                <w:sz w:val="20"/>
                <w:szCs w:val="20"/>
              </w:rPr>
            </w:pPr>
          </w:p>
        </w:tc>
        <w:tc>
          <w:tcPr>
            <w:tcW w:w="561" w:type="dxa"/>
          </w:tcPr>
          <w:p w14:paraId="0A4ED1CD" w14:textId="77777777" w:rsidR="00D9749D" w:rsidRDefault="00D9749D" w:rsidP="00D9749D">
            <w:pPr>
              <w:rPr>
                <w:rFonts w:ascii="Arial" w:hAnsi="Arial" w:cs="Arial"/>
                <w:sz w:val="20"/>
                <w:szCs w:val="20"/>
              </w:rPr>
            </w:pPr>
          </w:p>
        </w:tc>
        <w:tc>
          <w:tcPr>
            <w:tcW w:w="1981" w:type="dxa"/>
          </w:tcPr>
          <w:p w14:paraId="0A4ED1CE" w14:textId="77777777" w:rsidR="00D9749D" w:rsidRDefault="00D9749D" w:rsidP="00D9749D">
            <w:pPr>
              <w:rPr>
                <w:rFonts w:ascii="Arial" w:hAnsi="Arial" w:cs="Arial"/>
                <w:sz w:val="20"/>
                <w:szCs w:val="20"/>
              </w:rPr>
            </w:pPr>
          </w:p>
        </w:tc>
      </w:tr>
      <w:tr w:rsidR="00D62120" w14:paraId="0A4ED1D5" w14:textId="77777777" w:rsidTr="00BA5639">
        <w:trPr>
          <w:trHeight w:val="346"/>
        </w:trPr>
        <w:tc>
          <w:tcPr>
            <w:tcW w:w="5848" w:type="dxa"/>
          </w:tcPr>
          <w:p w14:paraId="0A4ED1D0" w14:textId="77777777" w:rsidR="00D9749D" w:rsidRDefault="00427027" w:rsidP="00D9749D">
            <w:pPr>
              <w:rPr>
                <w:rFonts w:ascii="Arial" w:hAnsi="Arial" w:cs="Arial"/>
                <w:sz w:val="20"/>
                <w:szCs w:val="20"/>
              </w:rPr>
            </w:pPr>
            <w:r w:rsidRPr="00033B9A">
              <w:rPr>
                <w:rFonts w:ascii="Arial" w:hAnsi="Arial" w:cs="Arial"/>
                <w:sz w:val="20"/>
                <w:szCs w:val="20"/>
              </w:rPr>
              <w:t>B3.3.4.19 Monitoring and management of neurologic toxicity, including immune effector cell associated neurotoxicity syndrome (ICANS).</w:t>
            </w:r>
          </w:p>
        </w:tc>
        <w:tc>
          <w:tcPr>
            <w:tcW w:w="572" w:type="dxa"/>
          </w:tcPr>
          <w:p w14:paraId="0A4ED1D1" w14:textId="77777777" w:rsidR="00D9749D" w:rsidRDefault="00D9749D" w:rsidP="00D9749D">
            <w:pPr>
              <w:rPr>
                <w:rFonts w:ascii="Arial" w:hAnsi="Arial" w:cs="Arial"/>
                <w:sz w:val="20"/>
                <w:szCs w:val="20"/>
              </w:rPr>
            </w:pPr>
          </w:p>
        </w:tc>
        <w:tc>
          <w:tcPr>
            <w:tcW w:w="483" w:type="dxa"/>
          </w:tcPr>
          <w:p w14:paraId="0A4ED1D2" w14:textId="77777777" w:rsidR="00D9749D" w:rsidRDefault="00D9749D" w:rsidP="00D9749D">
            <w:pPr>
              <w:rPr>
                <w:rFonts w:ascii="Arial" w:hAnsi="Arial" w:cs="Arial"/>
                <w:sz w:val="20"/>
                <w:szCs w:val="20"/>
              </w:rPr>
            </w:pPr>
          </w:p>
        </w:tc>
        <w:tc>
          <w:tcPr>
            <w:tcW w:w="561" w:type="dxa"/>
          </w:tcPr>
          <w:p w14:paraId="0A4ED1D3" w14:textId="77777777" w:rsidR="00D9749D" w:rsidRDefault="00D9749D" w:rsidP="00D9749D">
            <w:pPr>
              <w:rPr>
                <w:rFonts w:ascii="Arial" w:hAnsi="Arial" w:cs="Arial"/>
                <w:sz w:val="20"/>
                <w:szCs w:val="20"/>
              </w:rPr>
            </w:pPr>
          </w:p>
        </w:tc>
        <w:tc>
          <w:tcPr>
            <w:tcW w:w="1981" w:type="dxa"/>
          </w:tcPr>
          <w:p w14:paraId="0A4ED1D4" w14:textId="77777777" w:rsidR="00D9749D" w:rsidRDefault="00D9749D" w:rsidP="00D9749D">
            <w:pPr>
              <w:rPr>
                <w:rFonts w:ascii="Arial" w:hAnsi="Arial" w:cs="Arial"/>
                <w:sz w:val="20"/>
                <w:szCs w:val="20"/>
              </w:rPr>
            </w:pPr>
          </w:p>
        </w:tc>
      </w:tr>
      <w:tr w:rsidR="00D62120" w14:paraId="0A4ED1DB" w14:textId="77777777" w:rsidTr="00BA5639">
        <w:trPr>
          <w:trHeight w:val="346"/>
        </w:trPr>
        <w:tc>
          <w:tcPr>
            <w:tcW w:w="5848" w:type="dxa"/>
          </w:tcPr>
          <w:p w14:paraId="0A4ED1D6" w14:textId="77777777" w:rsidR="00D9749D" w:rsidRDefault="00427027" w:rsidP="00D9749D">
            <w:pPr>
              <w:rPr>
                <w:rFonts w:ascii="Arial" w:hAnsi="Arial" w:cs="Arial"/>
                <w:sz w:val="20"/>
                <w:szCs w:val="20"/>
              </w:rPr>
            </w:pPr>
            <w:r w:rsidRPr="00033B9A">
              <w:rPr>
                <w:rFonts w:ascii="Arial" w:hAnsi="Arial" w:cs="Arial"/>
                <w:sz w:val="20"/>
                <w:szCs w:val="20"/>
              </w:rPr>
              <w:t>B3.3.4.20 Monitoring and management of cardiac dysfunction.</w:t>
            </w:r>
          </w:p>
        </w:tc>
        <w:tc>
          <w:tcPr>
            <w:tcW w:w="572" w:type="dxa"/>
          </w:tcPr>
          <w:p w14:paraId="0A4ED1D7" w14:textId="77777777" w:rsidR="00D9749D" w:rsidRDefault="00D9749D" w:rsidP="00D9749D">
            <w:pPr>
              <w:rPr>
                <w:rFonts w:ascii="Arial" w:hAnsi="Arial" w:cs="Arial"/>
                <w:sz w:val="20"/>
                <w:szCs w:val="20"/>
              </w:rPr>
            </w:pPr>
          </w:p>
        </w:tc>
        <w:tc>
          <w:tcPr>
            <w:tcW w:w="483" w:type="dxa"/>
          </w:tcPr>
          <w:p w14:paraId="0A4ED1D8" w14:textId="77777777" w:rsidR="00D9749D" w:rsidRDefault="00D9749D" w:rsidP="00D9749D">
            <w:pPr>
              <w:rPr>
                <w:rFonts w:ascii="Arial" w:hAnsi="Arial" w:cs="Arial"/>
                <w:sz w:val="20"/>
                <w:szCs w:val="20"/>
              </w:rPr>
            </w:pPr>
          </w:p>
        </w:tc>
        <w:tc>
          <w:tcPr>
            <w:tcW w:w="561" w:type="dxa"/>
          </w:tcPr>
          <w:p w14:paraId="0A4ED1D9" w14:textId="77777777" w:rsidR="00D9749D" w:rsidRDefault="00D9749D" w:rsidP="00D9749D">
            <w:pPr>
              <w:rPr>
                <w:rFonts w:ascii="Arial" w:hAnsi="Arial" w:cs="Arial"/>
                <w:sz w:val="20"/>
                <w:szCs w:val="20"/>
              </w:rPr>
            </w:pPr>
          </w:p>
        </w:tc>
        <w:tc>
          <w:tcPr>
            <w:tcW w:w="1981" w:type="dxa"/>
          </w:tcPr>
          <w:p w14:paraId="0A4ED1DA" w14:textId="77777777" w:rsidR="00D9749D" w:rsidRDefault="00D9749D" w:rsidP="00D9749D">
            <w:pPr>
              <w:rPr>
                <w:rFonts w:ascii="Arial" w:hAnsi="Arial" w:cs="Arial"/>
                <w:sz w:val="20"/>
                <w:szCs w:val="20"/>
              </w:rPr>
            </w:pPr>
          </w:p>
        </w:tc>
      </w:tr>
      <w:tr w:rsidR="00D62120" w14:paraId="0A4ED1E1" w14:textId="77777777" w:rsidTr="00BA5639">
        <w:trPr>
          <w:trHeight w:val="346"/>
        </w:trPr>
        <w:tc>
          <w:tcPr>
            <w:tcW w:w="5848" w:type="dxa"/>
          </w:tcPr>
          <w:p w14:paraId="0A4ED1DC" w14:textId="77777777" w:rsidR="00D9749D" w:rsidRDefault="00427027" w:rsidP="00D9749D">
            <w:pPr>
              <w:rPr>
                <w:rFonts w:ascii="Arial" w:hAnsi="Arial" w:cs="Arial"/>
                <w:sz w:val="20"/>
                <w:szCs w:val="20"/>
              </w:rPr>
            </w:pPr>
            <w:r w:rsidRPr="00033B9A">
              <w:rPr>
                <w:rFonts w:ascii="Arial" w:hAnsi="Arial" w:cs="Arial"/>
                <w:sz w:val="20"/>
                <w:szCs w:val="20"/>
              </w:rPr>
              <w:lastRenderedPageBreak/>
              <w:t>B3.3.4.21 Monitoring and management of renal dysfunc</w:t>
            </w:r>
            <w:r w:rsidRPr="00033B9A">
              <w:rPr>
                <w:rFonts w:ascii="Arial" w:hAnsi="Arial" w:cs="Arial"/>
                <w:sz w:val="20"/>
                <w:szCs w:val="20"/>
              </w:rPr>
              <w:t>tion.</w:t>
            </w:r>
          </w:p>
        </w:tc>
        <w:tc>
          <w:tcPr>
            <w:tcW w:w="572" w:type="dxa"/>
          </w:tcPr>
          <w:p w14:paraId="0A4ED1DD" w14:textId="77777777" w:rsidR="00D9749D" w:rsidRDefault="00D9749D" w:rsidP="00D9749D">
            <w:pPr>
              <w:rPr>
                <w:rFonts w:ascii="Arial" w:hAnsi="Arial" w:cs="Arial"/>
                <w:sz w:val="20"/>
                <w:szCs w:val="20"/>
              </w:rPr>
            </w:pPr>
          </w:p>
        </w:tc>
        <w:tc>
          <w:tcPr>
            <w:tcW w:w="483" w:type="dxa"/>
          </w:tcPr>
          <w:p w14:paraId="0A4ED1DE" w14:textId="77777777" w:rsidR="00D9749D" w:rsidRDefault="00D9749D" w:rsidP="00D9749D">
            <w:pPr>
              <w:rPr>
                <w:rFonts w:ascii="Arial" w:hAnsi="Arial" w:cs="Arial"/>
                <w:sz w:val="20"/>
                <w:szCs w:val="20"/>
              </w:rPr>
            </w:pPr>
          </w:p>
        </w:tc>
        <w:tc>
          <w:tcPr>
            <w:tcW w:w="561" w:type="dxa"/>
          </w:tcPr>
          <w:p w14:paraId="0A4ED1DF" w14:textId="77777777" w:rsidR="00D9749D" w:rsidRDefault="00D9749D" w:rsidP="00D9749D">
            <w:pPr>
              <w:rPr>
                <w:rFonts w:ascii="Arial" w:hAnsi="Arial" w:cs="Arial"/>
                <w:sz w:val="20"/>
                <w:szCs w:val="20"/>
              </w:rPr>
            </w:pPr>
          </w:p>
        </w:tc>
        <w:tc>
          <w:tcPr>
            <w:tcW w:w="1981" w:type="dxa"/>
          </w:tcPr>
          <w:p w14:paraId="0A4ED1E0" w14:textId="77777777" w:rsidR="00D9749D" w:rsidRDefault="00D9749D" w:rsidP="00D9749D">
            <w:pPr>
              <w:rPr>
                <w:rFonts w:ascii="Arial" w:hAnsi="Arial" w:cs="Arial"/>
                <w:sz w:val="20"/>
                <w:szCs w:val="20"/>
              </w:rPr>
            </w:pPr>
          </w:p>
        </w:tc>
      </w:tr>
      <w:tr w:rsidR="00D62120" w14:paraId="0A4ED1E7" w14:textId="77777777" w:rsidTr="00BA5639">
        <w:trPr>
          <w:trHeight w:val="346"/>
        </w:trPr>
        <w:tc>
          <w:tcPr>
            <w:tcW w:w="5848" w:type="dxa"/>
          </w:tcPr>
          <w:p w14:paraId="0A4ED1E2" w14:textId="77777777" w:rsidR="00D9749D" w:rsidRPr="007E027F" w:rsidRDefault="00427027" w:rsidP="00D9749D">
            <w:pPr>
              <w:rPr>
                <w:rFonts w:ascii="Arial" w:hAnsi="Arial" w:cs="Arial"/>
                <w:sz w:val="20"/>
                <w:szCs w:val="20"/>
              </w:rPr>
            </w:pPr>
            <w:r w:rsidRPr="00033B9A">
              <w:rPr>
                <w:rFonts w:ascii="Arial" w:hAnsi="Arial" w:cs="Arial"/>
                <w:sz w:val="20"/>
                <w:szCs w:val="20"/>
              </w:rPr>
              <w:t>B3.3.4.22 Monitoring and management of anaphylaxis.</w:t>
            </w:r>
          </w:p>
        </w:tc>
        <w:tc>
          <w:tcPr>
            <w:tcW w:w="572" w:type="dxa"/>
          </w:tcPr>
          <w:p w14:paraId="0A4ED1E3" w14:textId="77777777" w:rsidR="00D9749D" w:rsidRDefault="00D9749D" w:rsidP="00D9749D">
            <w:pPr>
              <w:rPr>
                <w:rFonts w:ascii="Arial" w:hAnsi="Arial" w:cs="Arial"/>
                <w:sz w:val="20"/>
                <w:szCs w:val="20"/>
              </w:rPr>
            </w:pPr>
          </w:p>
        </w:tc>
        <w:tc>
          <w:tcPr>
            <w:tcW w:w="483" w:type="dxa"/>
          </w:tcPr>
          <w:p w14:paraId="0A4ED1E4" w14:textId="77777777" w:rsidR="00D9749D" w:rsidRDefault="00D9749D" w:rsidP="00D9749D">
            <w:pPr>
              <w:rPr>
                <w:rFonts w:ascii="Arial" w:hAnsi="Arial" w:cs="Arial"/>
                <w:sz w:val="20"/>
                <w:szCs w:val="20"/>
              </w:rPr>
            </w:pPr>
          </w:p>
        </w:tc>
        <w:tc>
          <w:tcPr>
            <w:tcW w:w="561" w:type="dxa"/>
          </w:tcPr>
          <w:p w14:paraId="0A4ED1E5" w14:textId="77777777" w:rsidR="00D9749D" w:rsidRDefault="00D9749D" w:rsidP="00D9749D">
            <w:pPr>
              <w:rPr>
                <w:rFonts w:ascii="Arial" w:hAnsi="Arial" w:cs="Arial"/>
                <w:sz w:val="20"/>
                <w:szCs w:val="20"/>
              </w:rPr>
            </w:pPr>
          </w:p>
        </w:tc>
        <w:tc>
          <w:tcPr>
            <w:tcW w:w="1981" w:type="dxa"/>
          </w:tcPr>
          <w:p w14:paraId="0A4ED1E6" w14:textId="77777777" w:rsidR="00D9749D" w:rsidRDefault="00D9749D" w:rsidP="00D9749D">
            <w:pPr>
              <w:rPr>
                <w:rFonts w:ascii="Arial" w:hAnsi="Arial" w:cs="Arial"/>
                <w:sz w:val="20"/>
                <w:szCs w:val="20"/>
              </w:rPr>
            </w:pPr>
          </w:p>
        </w:tc>
      </w:tr>
      <w:tr w:rsidR="00D62120" w14:paraId="0A4ED1ED" w14:textId="77777777" w:rsidTr="00BA5639">
        <w:trPr>
          <w:trHeight w:val="346"/>
        </w:trPr>
        <w:tc>
          <w:tcPr>
            <w:tcW w:w="5848" w:type="dxa"/>
          </w:tcPr>
          <w:p w14:paraId="0A4ED1E8" w14:textId="77777777" w:rsidR="00D9749D" w:rsidRDefault="00427027" w:rsidP="00D9749D">
            <w:pPr>
              <w:rPr>
                <w:rFonts w:ascii="Arial" w:hAnsi="Arial" w:cs="Arial"/>
                <w:sz w:val="20"/>
                <w:szCs w:val="20"/>
              </w:rPr>
            </w:pPr>
            <w:r w:rsidRPr="00033B9A">
              <w:rPr>
                <w:rFonts w:ascii="Arial" w:hAnsi="Arial" w:cs="Arial"/>
                <w:sz w:val="20"/>
                <w:szCs w:val="20"/>
              </w:rPr>
              <w:t>B3.3.4.23 Monitoring and management of infectious processes, including immunodeficiencies and opportunistic infections.</w:t>
            </w:r>
          </w:p>
        </w:tc>
        <w:tc>
          <w:tcPr>
            <w:tcW w:w="572" w:type="dxa"/>
          </w:tcPr>
          <w:p w14:paraId="0A4ED1E9" w14:textId="77777777" w:rsidR="00D9749D" w:rsidRDefault="00D9749D" w:rsidP="00D9749D">
            <w:pPr>
              <w:rPr>
                <w:rFonts w:ascii="Arial" w:hAnsi="Arial" w:cs="Arial"/>
                <w:sz w:val="20"/>
                <w:szCs w:val="20"/>
              </w:rPr>
            </w:pPr>
          </w:p>
        </w:tc>
        <w:tc>
          <w:tcPr>
            <w:tcW w:w="483" w:type="dxa"/>
          </w:tcPr>
          <w:p w14:paraId="0A4ED1EA" w14:textId="77777777" w:rsidR="00D9749D" w:rsidRDefault="00D9749D" w:rsidP="00D9749D">
            <w:pPr>
              <w:rPr>
                <w:rFonts w:ascii="Arial" w:hAnsi="Arial" w:cs="Arial"/>
                <w:sz w:val="20"/>
                <w:szCs w:val="20"/>
              </w:rPr>
            </w:pPr>
          </w:p>
        </w:tc>
        <w:tc>
          <w:tcPr>
            <w:tcW w:w="561" w:type="dxa"/>
          </w:tcPr>
          <w:p w14:paraId="0A4ED1EB" w14:textId="77777777" w:rsidR="00D9749D" w:rsidRDefault="00D9749D" w:rsidP="00D9749D">
            <w:pPr>
              <w:rPr>
                <w:rFonts w:ascii="Arial" w:hAnsi="Arial" w:cs="Arial"/>
                <w:sz w:val="20"/>
                <w:szCs w:val="20"/>
              </w:rPr>
            </w:pPr>
          </w:p>
        </w:tc>
        <w:tc>
          <w:tcPr>
            <w:tcW w:w="1981" w:type="dxa"/>
          </w:tcPr>
          <w:p w14:paraId="0A4ED1EC" w14:textId="77777777" w:rsidR="00D9749D" w:rsidRDefault="00D9749D" w:rsidP="00D9749D">
            <w:pPr>
              <w:rPr>
                <w:rFonts w:ascii="Arial" w:hAnsi="Arial" w:cs="Arial"/>
                <w:sz w:val="20"/>
                <w:szCs w:val="20"/>
              </w:rPr>
            </w:pPr>
          </w:p>
        </w:tc>
      </w:tr>
      <w:tr w:rsidR="00D62120" w14:paraId="0A4ED1F3" w14:textId="77777777" w:rsidTr="00BA5639">
        <w:trPr>
          <w:trHeight w:val="346"/>
        </w:trPr>
        <w:tc>
          <w:tcPr>
            <w:tcW w:w="5848" w:type="dxa"/>
          </w:tcPr>
          <w:p w14:paraId="0A4ED1EE" w14:textId="77777777" w:rsidR="00D9749D" w:rsidRDefault="00427027" w:rsidP="00D9749D">
            <w:pPr>
              <w:rPr>
                <w:rFonts w:ascii="Arial" w:hAnsi="Arial" w:cs="Arial"/>
                <w:sz w:val="20"/>
                <w:szCs w:val="20"/>
              </w:rPr>
            </w:pPr>
            <w:r w:rsidRPr="00033B9A">
              <w:rPr>
                <w:rFonts w:ascii="Arial" w:hAnsi="Arial" w:cs="Arial"/>
                <w:sz w:val="20"/>
                <w:szCs w:val="20"/>
              </w:rPr>
              <w:t xml:space="preserve">B3.3.4.24 Diagnosis and management of HPC graft </w:t>
            </w:r>
            <w:r w:rsidRPr="00033B9A">
              <w:rPr>
                <w:rFonts w:ascii="Arial" w:hAnsi="Arial" w:cs="Arial"/>
                <w:sz w:val="20"/>
                <w:szCs w:val="20"/>
              </w:rPr>
              <w:t>failure.</w:t>
            </w:r>
          </w:p>
        </w:tc>
        <w:tc>
          <w:tcPr>
            <w:tcW w:w="572" w:type="dxa"/>
          </w:tcPr>
          <w:p w14:paraId="0A4ED1EF" w14:textId="77777777" w:rsidR="00D9749D" w:rsidRDefault="00D9749D" w:rsidP="00D9749D">
            <w:pPr>
              <w:rPr>
                <w:rFonts w:ascii="Arial" w:hAnsi="Arial" w:cs="Arial"/>
                <w:sz w:val="20"/>
                <w:szCs w:val="20"/>
              </w:rPr>
            </w:pPr>
          </w:p>
        </w:tc>
        <w:tc>
          <w:tcPr>
            <w:tcW w:w="483" w:type="dxa"/>
          </w:tcPr>
          <w:p w14:paraId="0A4ED1F0" w14:textId="77777777" w:rsidR="00D9749D" w:rsidRDefault="00D9749D" w:rsidP="00D9749D">
            <w:pPr>
              <w:rPr>
                <w:rFonts w:ascii="Arial" w:hAnsi="Arial" w:cs="Arial"/>
                <w:sz w:val="20"/>
                <w:szCs w:val="20"/>
              </w:rPr>
            </w:pPr>
          </w:p>
        </w:tc>
        <w:tc>
          <w:tcPr>
            <w:tcW w:w="561" w:type="dxa"/>
          </w:tcPr>
          <w:p w14:paraId="0A4ED1F1" w14:textId="77777777" w:rsidR="00D9749D" w:rsidRDefault="00D9749D" w:rsidP="00D9749D">
            <w:pPr>
              <w:rPr>
                <w:rFonts w:ascii="Arial" w:hAnsi="Arial" w:cs="Arial"/>
                <w:sz w:val="20"/>
                <w:szCs w:val="20"/>
              </w:rPr>
            </w:pPr>
          </w:p>
        </w:tc>
        <w:tc>
          <w:tcPr>
            <w:tcW w:w="1981" w:type="dxa"/>
          </w:tcPr>
          <w:p w14:paraId="0A4ED1F2" w14:textId="77777777" w:rsidR="00D9749D" w:rsidRDefault="00D9749D" w:rsidP="00D9749D">
            <w:pPr>
              <w:rPr>
                <w:rFonts w:ascii="Arial" w:hAnsi="Arial" w:cs="Arial"/>
                <w:sz w:val="20"/>
                <w:szCs w:val="20"/>
              </w:rPr>
            </w:pPr>
          </w:p>
        </w:tc>
      </w:tr>
      <w:tr w:rsidR="00D62120" w14:paraId="0A4ED1F9" w14:textId="77777777" w:rsidTr="00BA5639">
        <w:trPr>
          <w:trHeight w:val="346"/>
        </w:trPr>
        <w:tc>
          <w:tcPr>
            <w:tcW w:w="5848" w:type="dxa"/>
          </w:tcPr>
          <w:p w14:paraId="0A4ED1F4" w14:textId="77777777" w:rsidR="00D9749D" w:rsidRDefault="00427027" w:rsidP="00D9749D">
            <w:pPr>
              <w:rPr>
                <w:rFonts w:ascii="Arial" w:hAnsi="Arial" w:cs="Arial"/>
                <w:sz w:val="20"/>
                <w:szCs w:val="20"/>
              </w:rPr>
            </w:pPr>
            <w:r w:rsidRPr="00033B9A">
              <w:rPr>
                <w:rFonts w:ascii="Arial" w:hAnsi="Arial" w:cs="Arial"/>
                <w:sz w:val="20"/>
                <w:szCs w:val="20"/>
              </w:rPr>
              <w:t>B3.3.4.25 Diagnosis and management of dermatologic complications.</w:t>
            </w:r>
          </w:p>
        </w:tc>
        <w:tc>
          <w:tcPr>
            <w:tcW w:w="572" w:type="dxa"/>
          </w:tcPr>
          <w:p w14:paraId="0A4ED1F5" w14:textId="77777777" w:rsidR="00D9749D" w:rsidRDefault="00D9749D" w:rsidP="00D9749D">
            <w:pPr>
              <w:rPr>
                <w:rFonts w:ascii="Arial" w:hAnsi="Arial" w:cs="Arial"/>
                <w:sz w:val="20"/>
                <w:szCs w:val="20"/>
              </w:rPr>
            </w:pPr>
          </w:p>
        </w:tc>
        <w:tc>
          <w:tcPr>
            <w:tcW w:w="483" w:type="dxa"/>
          </w:tcPr>
          <w:p w14:paraId="0A4ED1F6" w14:textId="77777777" w:rsidR="00D9749D" w:rsidRDefault="00D9749D" w:rsidP="00D9749D">
            <w:pPr>
              <w:rPr>
                <w:rFonts w:ascii="Arial" w:hAnsi="Arial" w:cs="Arial"/>
                <w:sz w:val="20"/>
                <w:szCs w:val="20"/>
              </w:rPr>
            </w:pPr>
          </w:p>
        </w:tc>
        <w:tc>
          <w:tcPr>
            <w:tcW w:w="561" w:type="dxa"/>
          </w:tcPr>
          <w:p w14:paraId="0A4ED1F7" w14:textId="77777777" w:rsidR="00D9749D" w:rsidRDefault="00D9749D" w:rsidP="00D9749D">
            <w:pPr>
              <w:rPr>
                <w:rFonts w:ascii="Arial" w:hAnsi="Arial" w:cs="Arial"/>
                <w:sz w:val="20"/>
                <w:szCs w:val="20"/>
              </w:rPr>
            </w:pPr>
          </w:p>
        </w:tc>
        <w:tc>
          <w:tcPr>
            <w:tcW w:w="1981" w:type="dxa"/>
          </w:tcPr>
          <w:p w14:paraId="0A4ED1F8" w14:textId="77777777" w:rsidR="00D9749D" w:rsidRDefault="00D9749D" w:rsidP="00D9749D">
            <w:pPr>
              <w:rPr>
                <w:rFonts w:ascii="Arial" w:hAnsi="Arial" w:cs="Arial"/>
                <w:sz w:val="20"/>
                <w:szCs w:val="20"/>
              </w:rPr>
            </w:pPr>
          </w:p>
        </w:tc>
      </w:tr>
      <w:tr w:rsidR="00D62120" w14:paraId="0A4ED1FF" w14:textId="77777777" w:rsidTr="00BA5639">
        <w:trPr>
          <w:trHeight w:val="346"/>
        </w:trPr>
        <w:tc>
          <w:tcPr>
            <w:tcW w:w="5848" w:type="dxa"/>
          </w:tcPr>
          <w:p w14:paraId="0A4ED1FA" w14:textId="77777777" w:rsidR="00D9749D" w:rsidRDefault="00427027" w:rsidP="00D9749D">
            <w:pPr>
              <w:rPr>
                <w:rFonts w:ascii="Arial" w:hAnsi="Arial" w:cs="Arial"/>
                <w:sz w:val="20"/>
                <w:szCs w:val="20"/>
              </w:rPr>
            </w:pPr>
            <w:r w:rsidRPr="00033B9A">
              <w:rPr>
                <w:rFonts w:ascii="Arial" w:hAnsi="Arial" w:cs="Arial"/>
                <w:sz w:val="20"/>
                <w:szCs w:val="20"/>
              </w:rPr>
              <w:t>B3.3.4.26 Evaluation of post-transplant and other cellular therapy outcomes.</w:t>
            </w:r>
          </w:p>
        </w:tc>
        <w:tc>
          <w:tcPr>
            <w:tcW w:w="572" w:type="dxa"/>
          </w:tcPr>
          <w:p w14:paraId="0A4ED1FB" w14:textId="77777777" w:rsidR="00D9749D" w:rsidRDefault="00D9749D" w:rsidP="00D9749D">
            <w:pPr>
              <w:rPr>
                <w:rFonts w:ascii="Arial" w:hAnsi="Arial" w:cs="Arial"/>
                <w:sz w:val="20"/>
                <w:szCs w:val="20"/>
              </w:rPr>
            </w:pPr>
          </w:p>
        </w:tc>
        <w:tc>
          <w:tcPr>
            <w:tcW w:w="483" w:type="dxa"/>
          </w:tcPr>
          <w:p w14:paraId="0A4ED1FC" w14:textId="77777777" w:rsidR="00D9749D" w:rsidRDefault="00D9749D" w:rsidP="00D9749D">
            <w:pPr>
              <w:rPr>
                <w:rFonts w:ascii="Arial" w:hAnsi="Arial" w:cs="Arial"/>
                <w:sz w:val="20"/>
                <w:szCs w:val="20"/>
              </w:rPr>
            </w:pPr>
          </w:p>
        </w:tc>
        <w:tc>
          <w:tcPr>
            <w:tcW w:w="561" w:type="dxa"/>
          </w:tcPr>
          <w:p w14:paraId="0A4ED1FD" w14:textId="77777777" w:rsidR="00D9749D" w:rsidRDefault="00D9749D" w:rsidP="00D9749D">
            <w:pPr>
              <w:rPr>
                <w:rFonts w:ascii="Arial" w:hAnsi="Arial" w:cs="Arial"/>
                <w:sz w:val="20"/>
                <w:szCs w:val="20"/>
              </w:rPr>
            </w:pPr>
          </w:p>
        </w:tc>
        <w:tc>
          <w:tcPr>
            <w:tcW w:w="1981" w:type="dxa"/>
          </w:tcPr>
          <w:p w14:paraId="0A4ED1FE" w14:textId="77777777" w:rsidR="00D9749D" w:rsidRDefault="00D9749D" w:rsidP="00D9749D">
            <w:pPr>
              <w:rPr>
                <w:rFonts w:ascii="Arial" w:hAnsi="Arial" w:cs="Arial"/>
                <w:sz w:val="20"/>
                <w:szCs w:val="20"/>
              </w:rPr>
            </w:pPr>
          </w:p>
        </w:tc>
      </w:tr>
      <w:tr w:rsidR="00D62120" w14:paraId="0A4ED205" w14:textId="77777777" w:rsidTr="00BA5639">
        <w:trPr>
          <w:trHeight w:val="346"/>
        </w:trPr>
        <w:tc>
          <w:tcPr>
            <w:tcW w:w="5848" w:type="dxa"/>
          </w:tcPr>
          <w:p w14:paraId="0A4ED200" w14:textId="77777777" w:rsidR="00D9749D" w:rsidRDefault="00427027" w:rsidP="00D9749D">
            <w:pPr>
              <w:rPr>
                <w:rFonts w:ascii="Arial" w:hAnsi="Arial" w:cs="Arial"/>
                <w:sz w:val="20"/>
                <w:szCs w:val="20"/>
              </w:rPr>
            </w:pPr>
            <w:r w:rsidRPr="00033B9A">
              <w:rPr>
                <w:rFonts w:ascii="Arial" w:hAnsi="Arial" w:cs="Arial"/>
                <w:sz w:val="20"/>
                <w:szCs w:val="20"/>
              </w:rPr>
              <w:t>B3.3.4.27 Monitoring and management of cytokine release syndrome.</w:t>
            </w:r>
          </w:p>
        </w:tc>
        <w:tc>
          <w:tcPr>
            <w:tcW w:w="572" w:type="dxa"/>
          </w:tcPr>
          <w:p w14:paraId="0A4ED201" w14:textId="77777777" w:rsidR="00D9749D" w:rsidRDefault="00D9749D" w:rsidP="00D9749D">
            <w:pPr>
              <w:rPr>
                <w:rFonts w:ascii="Arial" w:hAnsi="Arial" w:cs="Arial"/>
                <w:sz w:val="20"/>
                <w:szCs w:val="20"/>
              </w:rPr>
            </w:pPr>
          </w:p>
        </w:tc>
        <w:tc>
          <w:tcPr>
            <w:tcW w:w="483" w:type="dxa"/>
          </w:tcPr>
          <w:p w14:paraId="0A4ED202" w14:textId="77777777" w:rsidR="00D9749D" w:rsidRDefault="00D9749D" w:rsidP="00D9749D">
            <w:pPr>
              <w:rPr>
                <w:rFonts w:ascii="Arial" w:hAnsi="Arial" w:cs="Arial"/>
                <w:sz w:val="20"/>
                <w:szCs w:val="20"/>
              </w:rPr>
            </w:pPr>
          </w:p>
        </w:tc>
        <w:tc>
          <w:tcPr>
            <w:tcW w:w="561" w:type="dxa"/>
          </w:tcPr>
          <w:p w14:paraId="0A4ED203" w14:textId="77777777" w:rsidR="00D9749D" w:rsidRDefault="00D9749D" w:rsidP="00D9749D">
            <w:pPr>
              <w:rPr>
                <w:rFonts w:ascii="Arial" w:hAnsi="Arial" w:cs="Arial"/>
                <w:sz w:val="20"/>
                <w:szCs w:val="20"/>
              </w:rPr>
            </w:pPr>
          </w:p>
        </w:tc>
        <w:tc>
          <w:tcPr>
            <w:tcW w:w="1981" w:type="dxa"/>
          </w:tcPr>
          <w:p w14:paraId="0A4ED204" w14:textId="77777777" w:rsidR="00D9749D" w:rsidRDefault="00D9749D" w:rsidP="00D9749D">
            <w:pPr>
              <w:rPr>
                <w:rFonts w:ascii="Arial" w:hAnsi="Arial" w:cs="Arial"/>
                <w:sz w:val="20"/>
                <w:szCs w:val="20"/>
              </w:rPr>
            </w:pPr>
          </w:p>
        </w:tc>
      </w:tr>
      <w:tr w:rsidR="00D62120" w14:paraId="0A4ED20B" w14:textId="77777777" w:rsidTr="00BA5639">
        <w:trPr>
          <w:trHeight w:val="346"/>
        </w:trPr>
        <w:tc>
          <w:tcPr>
            <w:tcW w:w="5848" w:type="dxa"/>
          </w:tcPr>
          <w:p w14:paraId="0A4ED206" w14:textId="77777777" w:rsidR="00D9749D" w:rsidRDefault="00427027" w:rsidP="00D9749D">
            <w:pPr>
              <w:rPr>
                <w:rFonts w:ascii="Arial" w:hAnsi="Arial" w:cs="Arial"/>
                <w:sz w:val="20"/>
                <w:szCs w:val="20"/>
              </w:rPr>
            </w:pPr>
            <w:r w:rsidRPr="00033B9A">
              <w:rPr>
                <w:rFonts w:ascii="Arial" w:hAnsi="Arial" w:cs="Arial"/>
                <w:sz w:val="20"/>
                <w:szCs w:val="20"/>
              </w:rPr>
              <w:t xml:space="preserve">B3.3.4.28 </w:t>
            </w:r>
            <w:r w:rsidRPr="00033B9A">
              <w:rPr>
                <w:rFonts w:ascii="Arial" w:hAnsi="Arial" w:cs="Arial"/>
                <w:sz w:val="20"/>
                <w:szCs w:val="20"/>
              </w:rPr>
              <w:t>Monitoring and management of tumor lysis syndrome and macrophage activation syndrome / hemophagocytic lymphohistiocytosis.</w:t>
            </w:r>
          </w:p>
        </w:tc>
        <w:tc>
          <w:tcPr>
            <w:tcW w:w="572" w:type="dxa"/>
          </w:tcPr>
          <w:p w14:paraId="0A4ED207" w14:textId="77777777" w:rsidR="00D9749D" w:rsidRDefault="00D9749D" w:rsidP="00D9749D">
            <w:pPr>
              <w:rPr>
                <w:rFonts w:ascii="Arial" w:hAnsi="Arial" w:cs="Arial"/>
                <w:sz w:val="20"/>
                <w:szCs w:val="20"/>
              </w:rPr>
            </w:pPr>
          </w:p>
        </w:tc>
        <w:tc>
          <w:tcPr>
            <w:tcW w:w="483" w:type="dxa"/>
          </w:tcPr>
          <w:p w14:paraId="0A4ED208" w14:textId="77777777" w:rsidR="00D9749D" w:rsidRDefault="00D9749D" w:rsidP="00D9749D">
            <w:pPr>
              <w:rPr>
                <w:rFonts w:ascii="Arial" w:hAnsi="Arial" w:cs="Arial"/>
                <w:sz w:val="20"/>
                <w:szCs w:val="20"/>
              </w:rPr>
            </w:pPr>
          </w:p>
        </w:tc>
        <w:tc>
          <w:tcPr>
            <w:tcW w:w="561" w:type="dxa"/>
          </w:tcPr>
          <w:p w14:paraId="0A4ED209" w14:textId="77777777" w:rsidR="00D9749D" w:rsidRDefault="00D9749D" w:rsidP="00D9749D">
            <w:pPr>
              <w:rPr>
                <w:rFonts w:ascii="Arial" w:hAnsi="Arial" w:cs="Arial"/>
                <w:sz w:val="20"/>
                <w:szCs w:val="20"/>
              </w:rPr>
            </w:pPr>
          </w:p>
        </w:tc>
        <w:tc>
          <w:tcPr>
            <w:tcW w:w="1981" w:type="dxa"/>
          </w:tcPr>
          <w:p w14:paraId="0A4ED20A" w14:textId="77777777" w:rsidR="00D9749D" w:rsidRDefault="00D9749D" w:rsidP="00D9749D">
            <w:pPr>
              <w:rPr>
                <w:rFonts w:ascii="Arial" w:hAnsi="Arial" w:cs="Arial"/>
                <w:sz w:val="20"/>
                <w:szCs w:val="20"/>
              </w:rPr>
            </w:pPr>
          </w:p>
        </w:tc>
      </w:tr>
      <w:tr w:rsidR="00D62120" w14:paraId="0A4ED211" w14:textId="77777777" w:rsidTr="00BA5639">
        <w:trPr>
          <w:trHeight w:val="346"/>
        </w:trPr>
        <w:tc>
          <w:tcPr>
            <w:tcW w:w="5848" w:type="dxa"/>
          </w:tcPr>
          <w:p w14:paraId="0A4ED20C" w14:textId="77777777" w:rsidR="00D9749D" w:rsidRDefault="00427027" w:rsidP="00D9749D">
            <w:pPr>
              <w:rPr>
                <w:rFonts w:ascii="Arial" w:hAnsi="Arial" w:cs="Arial"/>
                <w:sz w:val="20"/>
                <w:szCs w:val="20"/>
              </w:rPr>
            </w:pPr>
            <w:r w:rsidRPr="00033B9A">
              <w:rPr>
                <w:rFonts w:ascii="Arial" w:hAnsi="Arial" w:cs="Arial"/>
                <w:sz w:val="20"/>
                <w:szCs w:val="20"/>
              </w:rPr>
              <w:t>B3.3.4.29 Evaluation of late effects of cellular therapy.</w:t>
            </w:r>
          </w:p>
        </w:tc>
        <w:tc>
          <w:tcPr>
            <w:tcW w:w="572" w:type="dxa"/>
          </w:tcPr>
          <w:p w14:paraId="0A4ED20D" w14:textId="77777777" w:rsidR="00D9749D" w:rsidRDefault="00D9749D" w:rsidP="00D9749D">
            <w:pPr>
              <w:rPr>
                <w:rFonts w:ascii="Arial" w:hAnsi="Arial" w:cs="Arial"/>
                <w:sz w:val="20"/>
                <w:szCs w:val="20"/>
              </w:rPr>
            </w:pPr>
          </w:p>
        </w:tc>
        <w:tc>
          <w:tcPr>
            <w:tcW w:w="483" w:type="dxa"/>
          </w:tcPr>
          <w:p w14:paraId="0A4ED20E" w14:textId="77777777" w:rsidR="00D9749D" w:rsidRDefault="00D9749D" w:rsidP="00D9749D">
            <w:pPr>
              <w:rPr>
                <w:rFonts w:ascii="Arial" w:hAnsi="Arial" w:cs="Arial"/>
                <w:sz w:val="20"/>
                <w:szCs w:val="20"/>
              </w:rPr>
            </w:pPr>
          </w:p>
        </w:tc>
        <w:tc>
          <w:tcPr>
            <w:tcW w:w="561" w:type="dxa"/>
          </w:tcPr>
          <w:p w14:paraId="0A4ED20F" w14:textId="77777777" w:rsidR="00D9749D" w:rsidRDefault="00D9749D" w:rsidP="00D9749D">
            <w:pPr>
              <w:rPr>
                <w:rFonts w:ascii="Arial" w:hAnsi="Arial" w:cs="Arial"/>
                <w:sz w:val="20"/>
                <w:szCs w:val="20"/>
              </w:rPr>
            </w:pPr>
          </w:p>
        </w:tc>
        <w:tc>
          <w:tcPr>
            <w:tcW w:w="1981" w:type="dxa"/>
          </w:tcPr>
          <w:p w14:paraId="0A4ED210" w14:textId="77777777" w:rsidR="00D9749D" w:rsidRDefault="00D9749D" w:rsidP="00D9749D">
            <w:pPr>
              <w:rPr>
                <w:rFonts w:ascii="Arial" w:hAnsi="Arial" w:cs="Arial"/>
                <w:sz w:val="20"/>
                <w:szCs w:val="20"/>
              </w:rPr>
            </w:pPr>
          </w:p>
        </w:tc>
      </w:tr>
      <w:tr w:rsidR="00D62120" w14:paraId="0A4ED217" w14:textId="77777777" w:rsidTr="00BA5639">
        <w:trPr>
          <w:trHeight w:val="346"/>
        </w:trPr>
        <w:tc>
          <w:tcPr>
            <w:tcW w:w="5848" w:type="dxa"/>
          </w:tcPr>
          <w:p w14:paraId="0A4ED212" w14:textId="77777777" w:rsidR="00D9749D" w:rsidRDefault="00427027" w:rsidP="00D9749D">
            <w:pPr>
              <w:rPr>
                <w:rFonts w:ascii="Arial" w:hAnsi="Arial" w:cs="Arial"/>
                <w:sz w:val="20"/>
                <w:szCs w:val="20"/>
              </w:rPr>
            </w:pPr>
            <w:r w:rsidRPr="00033B9A">
              <w:rPr>
                <w:rFonts w:ascii="Arial" w:hAnsi="Arial" w:cs="Arial"/>
                <w:sz w:val="20"/>
                <w:szCs w:val="20"/>
              </w:rPr>
              <w:t xml:space="preserve">B3.3.4.30 Documentation and reporting for patients on </w:t>
            </w:r>
            <w:r w:rsidRPr="00033B9A">
              <w:rPr>
                <w:rFonts w:ascii="Arial" w:hAnsi="Arial" w:cs="Arial"/>
                <w:sz w:val="20"/>
                <w:szCs w:val="20"/>
              </w:rPr>
              <w:t>investigational protocols.</w:t>
            </w:r>
          </w:p>
        </w:tc>
        <w:tc>
          <w:tcPr>
            <w:tcW w:w="572" w:type="dxa"/>
          </w:tcPr>
          <w:p w14:paraId="0A4ED213" w14:textId="77777777" w:rsidR="00D9749D" w:rsidRDefault="00D9749D" w:rsidP="00D9749D">
            <w:pPr>
              <w:rPr>
                <w:rFonts w:ascii="Arial" w:hAnsi="Arial" w:cs="Arial"/>
                <w:sz w:val="20"/>
                <w:szCs w:val="20"/>
              </w:rPr>
            </w:pPr>
          </w:p>
        </w:tc>
        <w:tc>
          <w:tcPr>
            <w:tcW w:w="483" w:type="dxa"/>
          </w:tcPr>
          <w:p w14:paraId="0A4ED214" w14:textId="77777777" w:rsidR="00D9749D" w:rsidRDefault="00D9749D" w:rsidP="00D9749D">
            <w:pPr>
              <w:rPr>
                <w:rFonts w:ascii="Arial" w:hAnsi="Arial" w:cs="Arial"/>
                <w:sz w:val="20"/>
                <w:szCs w:val="20"/>
              </w:rPr>
            </w:pPr>
          </w:p>
        </w:tc>
        <w:tc>
          <w:tcPr>
            <w:tcW w:w="561" w:type="dxa"/>
          </w:tcPr>
          <w:p w14:paraId="0A4ED215" w14:textId="77777777" w:rsidR="00D9749D" w:rsidRDefault="00D9749D" w:rsidP="00D9749D">
            <w:pPr>
              <w:rPr>
                <w:rFonts w:ascii="Arial" w:hAnsi="Arial" w:cs="Arial"/>
                <w:sz w:val="20"/>
                <w:szCs w:val="20"/>
              </w:rPr>
            </w:pPr>
          </w:p>
        </w:tc>
        <w:tc>
          <w:tcPr>
            <w:tcW w:w="1981" w:type="dxa"/>
          </w:tcPr>
          <w:p w14:paraId="0A4ED216" w14:textId="77777777" w:rsidR="00D9749D" w:rsidRDefault="00D9749D" w:rsidP="00D9749D">
            <w:pPr>
              <w:rPr>
                <w:rFonts w:ascii="Arial" w:hAnsi="Arial" w:cs="Arial"/>
                <w:sz w:val="20"/>
                <w:szCs w:val="20"/>
              </w:rPr>
            </w:pPr>
          </w:p>
        </w:tc>
      </w:tr>
      <w:tr w:rsidR="00D62120" w14:paraId="0A4ED21D" w14:textId="77777777" w:rsidTr="00BA5639">
        <w:trPr>
          <w:trHeight w:val="346"/>
        </w:trPr>
        <w:tc>
          <w:tcPr>
            <w:tcW w:w="5848" w:type="dxa"/>
          </w:tcPr>
          <w:p w14:paraId="0A4ED218" w14:textId="77777777" w:rsidR="00D9749D" w:rsidRDefault="00427027" w:rsidP="00D9749D">
            <w:pPr>
              <w:rPr>
                <w:rFonts w:ascii="Arial" w:hAnsi="Arial" w:cs="Arial"/>
                <w:sz w:val="20"/>
                <w:szCs w:val="20"/>
              </w:rPr>
            </w:pPr>
            <w:r w:rsidRPr="00033B9A">
              <w:rPr>
                <w:rFonts w:ascii="Arial" w:hAnsi="Arial" w:cs="Arial"/>
                <w:sz w:val="20"/>
                <w:szCs w:val="20"/>
              </w:rPr>
              <w:t>B3.3.4.31 Reporting responsibilities for adverse events according to Applicable Law.</w:t>
            </w:r>
          </w:p>
        </w:tc>
        <w:tc>
          <w:tcPr>
            <w:tcW w:w="572" w:type="dxa"/>
          </w:tcPr>
          <w:p w14:paraId="0A4ED219" w14:textId="77777777" w:rsidR="00D9749D" w:rsidRDefault="00D9749D" w:rsidP="00D9749D">
            <w:pPr>
              <w:rPr>
                <w:rFonts w:ascii="Arial" w:hAnsi="Arial" w:cs="Arial"/>
                <w:sz w:val="20"/>
                <w:szCs w:val="20"/>
              </w:rPr>
            </w:pPr>
          </w:p>
        </w:tc>
        <w:tc>
          <w:tcPr>
            <w:tcW w:w="483" w:type="dxa"/>
          </w:tcPr>
          <w:p w14:paraId="0A4ED21A" w14:textId="77777777" w:rsidR="00D9749D" w:rsidRDefault="00D9749D" w:rsidP="00D9749D">
            <w:pPr>
              <w:rPr>
                <w:rFonts w:ascii="Arial" w:hAnsi="Arial" w:cs="Arial"/>
                <w:sz w:val="20"/>
                <w:szCs w:val="20"/>
              </w:rPr>
            </w:pPr>
          </w:p>
        </w:tc>
        <w:tc>
          <w:tcPr>
            <w:tcW w:w="561" w:type="dxa"/>
          </w:tcPr>
          <w:p w14:paraId="0A4ED21B" w14:textId="77777777" w:rsidR="00D9749D" w:rsidRDefault="00D9749D" w:rsidP="00D9749D">
            <w:pPr>
              <w:rPr>
                <w:rFonts w:ascii="Arial" w:hAnsi="Arial" w:cs="Arial"/>
                <w:sz w:val="20"/>
                <w:szCs w:val="20"/>
              </w:rPr>
            </w:pPr>
          </w:p>
        </w:tc>
        <w:tc>
          <w:tcPr>
            <w:tcW w:w="1981" w:type="dxa"/>
          </w:tcPr>
          <w:p w14:paraId="0A4ED21C" w14:textId="77777777" w:rsidR="00D9749D" w:rsidRDefault="00D9749D" w:rsidP="00D9749D">
            <w:pPr>
              <w:rPr>
                <w:rFonts w:ascii="Arial" w:hAnsi="Arial" w:cs="Arial"/>
                <w:sz w:val="20"/>
                <w:szCs w:val="20"/>
              </w:rPr>
            </w:pPr>
          </w:p>
        </w:tc>
      </w:tr>
      <w:tr w:rsidR="00D62120" w14:paraId="0A4ED223" w14:textId="77777777" w:rsidTr="00BA5639">
        <w:trPr>
          <w:trHeight w:val="346"/>
        </w:trPr>
        <w:tc>
          <w:tcPr>
            <w:tcW w:w="5848" w:type="dxa"/>
          </w:tcPr>
          <w:p w14:paraId="0A4ED21E" w14:textId="77777777" w:rsidR="00D9749D" w:rsidRDefault="00427027" w:rsidP="00D9749D">
            <w:pPr>
              <w:rPr>
                <w:rFonts w:ascii="Arial" w:hAnsi="Arial" w:cs="Arial"/>
                <w:sz w:val="20"/>
                <w:szCs w:val="20"/>
              </w:rPr>
            </w:pPr>
            <w:r w:rsidRPr="00033B9A">
              <w:rPr>
                <w:rFonts w:ascii="Arial" w:hAnsi="Arial" w:cs="Arial"/>
                <w:sz w:val="20"/>
                <w:szCs w:val="20"/>
              </w:rPr>
              <w:t xml:space="preserve">B3.3.4.32 Palliative and end of life care. </w:t>
            </w:r>
          </w:p>
        </w:tc>
        <w:tc>
          <w:tcPr>
            <w:tcW w:w="572" w:type="dxa"/>
          </w:tcPr>
          <w:p w14:paraId="0A4ED21F" w14:textId="77777777" w:rsidR="00D9749D" w:rsidRDefault="00D9749D" w:rsidP="00D9749D">
            <w:pPr>
              <w:rPr>
                <w:rFonts w:ascii="Arial" w:hAnsi="Arial" w:cs="Arial"/>
                <w:sz w:val="20"/>
                <w:szCs w:val="20"/>
              </w:rPr>
            </w:pPr>
          </w:p>
        </w:tc>
        <w:tc>
          <w:tcPr>
            <w:tcW w:w="483" w:type="dxa"/>
          </w:tcPr>
          <w:p w14:paraId="0A4ED220" w14:textId="77777777" w:rsidR="00D9749D" w:rsidRDefault="00D9749D" w:rsidP="00D9749D">
            <w:pPr>
              <w:rPr>
                <w:rFonts w:ascii="Arial" w:hAnsi="Arial" w:cs="Arial"/>
                <w:sz w:val="20"/>
                <w:szCs w:val="20"/>
              </w:rPr>
            </w:pPr>
          </w:p>
        </w:tc>
        <w:tc>
          <w:tcPr>
            <w:tcW w:w="561" w:type="dxa"/>
          </w:tcPr>
          <w:p w14:paraId="0A4ED221" w14:textId="77777777" w:rsidR="00D9749D" w:rsidRDefault="00D9749D" w:rsidP="00D9749D">
            <w:pPr>
              <w:rPr>
                <w:rFonts w:ascii="Arial" w:hAnsi="Arial" w:cs="Arial"/>
                <w:sz w:val="20"/>
                <w:szCs w:val="20"/>
              </w:rPr>
            </w:pPr>
          </w:p>
        </w:tc>
        <w:tc>
          <w:tcPr>
            <w:tcW w:w="1981" w:type="dxa"/>
          </w:tcPr>
          <w:p w14:paraId="0A4ED222" w14:textId="77777777" w:rsidR="00D9749D" w:rsidRDefault="00D9749D" w:rsidP="00D9749D">
            <w:pPr>
              <w:rPr>
                <w:rFonts w:ascii="Arial" w:hAnsi="Arial" w:cs="Arial"/>
                <w:sz w:val="20"/>
                <w:szCs w:val="20"/>
              </w:rPr>
            </w:pPr>
          </w:p>
        </w:tc>
      </w:tr>
      <w:tr w:rsidR="00D62120" w14:paraId="0A4ED229" w14:textId="77777777" w:rsidTr="00BA5639">
        <w:trPr>
          <w:trHeight w:val="346"/>
        </w:trPr>
        <w:tc>
          <w:tcPr>
            <w:tcW w:w="5848" w:type="dxa"/>
          </w:tcPr>
          <w:p w14:paraId="0A4ED224" w14:textId="77777777" w:rsidR="00D9749D" w:rsidRDefault="00427027" w:rsidP="00D9749D">
            <w:pPr>
              <w:rPr>
                <w:rFonts w:ascii="Arial" w:hAnsi="Arial" w:cs="Arial"/>
                <w:sz w:val="20"/>
                <w:szCs w:val="20"/>
              </w:rPr>
            </w:pPr>
            <w:r w:rsidRPr="00033B9A">
              <w:rPr>
                <w:rFonts w:ascii="Arial" w:hAnsi="Arial" w:cs="Arial"/>
                <w:sz w:val="20"/>
                <w:szCs w:val="20"/>
              </w:rPr>
              <w:t>B3.3.4.33 Age-specific donor and recipient care.</w:t>
            </w:r>
          </w:p>
        </w:tc>
        <w:tc>
          <w:tcPr>
            <w:tcW w:w="572" w:type="dxa"/>
          </w:tcPr>
          <w:p w14:paraId="0A4ED225" w14:textId="77777777" w:rsidR="00D9749D" w:rsidRDefault="00D9749D" w:rsidP="00D9749D">
            <w:pPr>
              <w:rPr>
                <w:rFonts w:ascii="Arial" w:hAnsi="Arial" w:cs="Arial"/>
                <w:sz w:val="20"/>
                <w:szCs w:val="20"/>
              </w:rPr>
            </w:pPr>
          </w:p>
        </w:tc>
        <w:tc>
          <w:tcPr>
            <w:tcW w:w="483" w:type="dxa"/>
          </w:tcPr>
          <w:p w14:paraId="0A4ED226" w14:textId="77777777" w:rsidR="00D9749D" w:rsidRDefault="00D9749D" w:rsidP="00D9749D">
            <w:pPr>
              <w:rPr>
                <w:rFonts w:ascii="Arial" w:hAnsi="Arial" w:cs="Arial"/>
                <w:sz w:val="20"/>
                <w:szCs w:val="20"/>
              </w:rPr>
            </w:pPr>
          </w:p>
        </w:tc>
        <w:tc>
          <w:tcPr>
            <w:tcW w:w="561" w:type="dxa"/>
          </w:tcPr>
          <w:p w14:paraId="0A4ED227" w14:textId="77777777" w:rsidR="00D9749D" w:rsidRDefault="00D9749D" w:rsidP="00D9749D">
            <w:pPr>
              <w:rPr>
                <w:rFonts w:ascii="Arial" w:hAnsi="Arial" w:cs="Arial"/>
                <w:sz w:val="20"/>
                <w:szCs w:val="20"/>
              </w:rPr>
            </w:pPr>
          </w:p>
        </w:tc>
        <w:tc>
          <w:tcPr>
            <w:tcW w:w="1981" w:type="dxa"/>
          </w:tcPr>
          <w:p w14:paraId="0A4ED228" w14:textId="77777777" w:rsidR="00D9749D" w:rsidRDefault="00D9749D" w:rsidP="00D9749D">
            <w:pPr>
              <w:rPr>
                <w:rFonts w:ascii="Arial" w:hAnsi="Arial" w:cs="Arial"/>
                <w:sz w:val="20"/>
                <w:szCs w:val="20"/>
              </w:rPr>
            </w:pPr>
          </w:p>
        </w:tc>
      </w:tr>
      <w:tr w:rsidR="00D62120" w14:paraId="0A4ED22B" w14:textId="77777777" w:rsidTr="00BA5639">
        <w:trPr>
          <w:trHeight w:val="346"/>
        </w:trPr>
        <w:tc>
          <w:tcPr>
            <w:tcW w:w="9445" w:type="dxa"/>
            <w:gridSpan w:val="5"/>
          </w:tcPr>
          <w:p w14:paraId="0A4ED22A" w14:textId="77777777" w:rsidR="00D9749D" w:rsidRPr="00422336" w:rsidRDefault="00427027" w:rsidP="00D9749D">
            <w:pPr>
              <w:rPr>
                <w:rFonts w:ascii="Arial" w:hAnsi="Arial" w:cs="Arial"/>
                <w:b/>
                <w:bCs/>
                <w:i/>
                <w:iCs/>
                <w:sz w:val="20"/>
                <w:szCs w:val="20"/>
              </w:rPr>
            </w:pPr>
            <w:r w:rsidRPr="00033B9A">
              <w:rPr>
                <w:rFonts w:ascii="Arial" w:hAnsi="Arial" w:cs="Arial"/>
                <w:b/>
                <w:bCs/>
                <w:i/>
                <w:iCs/>
                <w:sz w:val="20"/>
                <w:szCs w:val="20"/>
              </w:rPr>
              <w:t xml:space="preserve">Specific </w:t>
            </w:r>
            <w:r>
              <w:rPr>
                <w:rFonts w:ascii="Arial" w:hAnsi="Arial" w:cs="Arial"/>
                <w:b/>
                <w:bCs/>
                <w:i/>
                <w:iCs/>
                <w:sz w:val="20"/>
                <w:szCs w:val="20"/>
              </w:rPr>
              <w:t xml:space="preserve">clinical </w:t>
            </w:r>
            <w:r w:rsidRPr="00033B9A">
              <w:rPr>
                <w:rFonts w:ascii="Arial" w:hAnsi="Arial" w:cs="Arial"/>
                <w:b/>
                <w:bCs/>
                <w:i/>
                <w:iCs/>
                <w:sz w:val="20"/>
                <w:szCs w:val="20"/>
              </w:rPr>
              <w:t>training and competency in each of the following for allogenic transplantation:</w:t>
            </w:r>
          </w:p>
        </w:tc>
      </w:tr>
      <w:tr w:rsidR="00D62120" w14:paraId="0A4ED231" w14:textId="77777777" w:rsidTr="00BA5639">
        <w:trPr>
          <w:trHeight w:val="346"/>
        </w:trPr>
        <w:tc>
          <w:tcPr>
            <w:tcW w:w="5848" w:type="dxa"/>
          </w:tcPr>
          <w:p w14:paraId="0A4ED22C" w14:textId="77777777" w:rsidR="00D9749D" w:rsidRDefault="00427027" w:rsidP="00D9749D">
            <w:pPr>
              <w:rPr>
                <w:rFonts w:ascii="Arial" w:hAnsi="Arial" w:cs="Arial"/>
                <w:sz w:val="20"/>
                <w:szCs w:val="20"/>
              </w:rPr>
            </w:pPr>
            <w:r w:rsidRPr="00033B9A">
              <w:rPr>
                <w:rFonts w:ascii="Arial" w:hAnsi="Arial" w:cs="Arial"/>
                <w:sz w:val="20"/>
                <w:szCs w:val="20"/>
              </w:rPr>
              <w:t>B3.3.5.1 Identification, evaluation, and selection of HPC source, including use of donor registries.</w:t>
            </w:r>
          </w:p>
        </w:tc>
        <w:tc>
          <w:tcPr>
            <w:tcW w:w="572" w:type="dxa"/>
          </w:tcPr>
          <w:p w14:paraId="0A4ED22D" w14:textId="77777777" w:rsidR="00D9749D" w:rsidRDefault="00D9749D" w:rsidP="00D9749D">
            <w:pPr>
              <w:rPr>
                <w:rFonts w:ascii="Arial" w:hAnsi="Arial" w:cs="Arial"/>
                <w:sz w:val="20"/>
                <w:szCs w:val="20"/>
              </w:rPr>
            </w:pPr>
          </w:p>
        </w:tc>
        <w:tc>
          <w:tcPr>
            <w:tcW w:w="483" w:type="dxa"/>
          </w:tcPr>
          <w:p w14:paraId="0A4ED22E" w14:textId="77777777" w:rsidR="00D9749D" w:rsidRDefault="00D9749D" w:rsidP="00D9749D">
            <w:pPr>
              <w:rPr>
                <w:rFonts w:ascii="Arial" w:hAnsi="Arial" w:cs="Arial"/>
                <w:sz w:val="20"/>
                <w:szCs w:val="20"/>
              </w:rPr>
            </w:pPr>
          </w:p>
        </w:tc>
        <w:tc>
          <w:tcPr>
            <w:tcW w:w="561" w:type="dxa"/>
          </w:tcPr>
          <w:p w14:paraId="0A4ED22F" w14:textId="77777777" w:rsidR="00D9749D" w:rsidRDefault="00D9749D" w:rsidP="00D9749D">
            <w:pPr>
              <w:rPr>
                <w:rFonts w:ascii="Arial" w:hAnsi="Arial" w:cs="Arial"/>
                <w:sz w:val="20"/>
                <w:szCs w:val="20"/>
              </w:rPr>
            </w:pPr>
          </w:p>
        </w:tc>
        <w:tc>
          <w:tcPr>
            <w:tcW w:w="1981" w:type="dxa"/>
          </w:tcPr>
          <w:p w14:paraId="0A4ED230" w14:textId="77777777" w:rsidR="00D9749D" w:rsidRDefault="00D9749D" w:rsidP="00D9749D">
            <w:pPr>
              <w:rPr>
                <w:rFonts w:ascii="Arial" w:hAnsi="Arial" w:cs="Arial"/>
                <w:sz w:val="20"/>
                <w:szCs w:val="20"/>
              </w:rPr>
            </w:pPr>
          </w:p>
        </w:tc>
      </w:tr>
      <w:tr w:rsidR="00D62120" w14:paraId="0A4ED237" w14:textId="77777777" w:rsidTr="00BA5639">
        <w:trPr>
          <w:trHeight w:val="346"/>
        </w:trPr>
        <w:tc>
          <w:tcPr>
            <w:tcW w:w="5848" w:type="dxa"/>
          </w:tcPr>
          <w:p w14:paraId="0A4ED232" w14:textId="77777777" w:rsidR="00D9749D" w:rsidRDefault="00427027" w:rsidP="00D9749D">
            <w:pPr>
              <w:rPr>
                <w:rFonts w:ascii="Arial" w:hAnsi="Arial" w:cs="Arial"/>
                <w:sz w:val="20"/>
                <w:szCs w:val="20"/>
              </w:rPr>
            </w:pPr>
            <w:r w:rsidRPr="00033B9A">
              <w:rPr>
                <w:rFonts w:ascii="Arial" w:hAnsi="Arial" w:cs="Arial"/>
                <w:sz w:val="20"/>
                <w:szCs w:val="20"/>
              </w:rPr>
              <w:t>B3.3.5.2 Donor eligibility determination.</w:t>
            </w:r>
          </w:p>
        </w:tc>
        <w:tc>
          <w:tcPr>
            <w:tcW w:w="572" w:type="dxa"/>
          </w:tcPr>
          <w:p w14:paraId="0A4ED233" w14:textId="77777777" w:rsidR="00D9749D" w:rsidRDefault="00D9749D" w:rsidP="00D9749D">
            <w:pPr>
              <w:rPr>
                <w:rFonts w:ascii="Arial" w:hAnsi="Arial" w:cs="Arial"/>
                <w:sz w:val="20"/>
                <w:szCs w:val="20"/>
              </w:rPr>
            </w:pPr>
          </w:p>
        </w:tc>
        <w:tc>
          <w:tcPr>
            <w:tcW w:w="483" w:type="dxa"/>
          </w:tcPr>
          <w:p w14:paraId="0A4ED234" w14:textId="77777777" w:rsidR="00D9749D" w:rsidRDefault="00D9749D" w:rsidP="00D9749D">
            <w:pPr>
              <w:rPr>
                <w:rFonts w:ascii="Arial" w:hAnsi="Arial" w:cs="Arial"/>
                <w:sz w:val="20"/>
                <w:szCs w:val="20"/>
              </w:rPr>
            </w:pPr>
          </w:p>
        </w:tc>
        <w:tc>
          <w:tcPr>
            <w:tcW w:w="561" w:type="dxa"/>
          </w:tcPr>
          <w:p w14:paraId="0A4ED235" w14:textId="77777777" w:rsidR="00D9749D" w:rsidRDefault="00D9749D" w:rsidP="00D9749D">
            <w:pPr>
              <w:rPr>
                <w:rFonts w:ascii="Arial" w:hAnsi="Arial" w:cs="Arial"/>
                <w:sz w:val="20"/>
                <w:szCs w:val="20"/>
              </w:rPr>
            </w:pPr>
          </w:p>
        </w:tc>
        <w:tc>
          <w:tcPr>
            <w:tcW w:w="1981" w:type="dxa"/>
          </w:tcPr>
          <w:p w14:paraId="0A4ED236" w14:textId="77777777" w:rsidR="00D9749D" w:rsidRDefault="00D9749D" w:rsidP="00D9749D">
            <w:pPr>
              <w:rPr>
                <w:rFonts w:ascii="Arial" w:hAnsi="Arial" w:cs="Arial"/>
                <w:sz w:val="20"/>
                <w:szCs w:val="20"/>
              </w:rPr>
            </w:pPr>
          </w:p>
        </w:tc>
      </w:tr>
      <w:tr w:rsidR="00D62120" w14:paraId="0A4ED23D" w14:textId="77777777" w:rsidTr="00BA5639">
        <w:trPr>
          <w:trHeight w:val="346"/>
        </w:trPr>
        <w:tc>
          <w:tcPr>
            <w:tcW w:w="5848" w:type="dxa"/>
          </w:tcPr>
          <w:p w14:paraId="0A4ED238" w14:textId="77777777" w:rsidR="00D9749D" w:rsidRDefault="00427027" w:rsidP="00D9749D">
            <w:pPr>
              <w:rPr>
                <w:rFonts w:ascii="Arial" w:hAnsi="Arial" w:cs="Arial"/>
                <w:sz w:val="20"/>
                <w:szCs w:val="20"/>
              </w:rPr>
            </w:pPr>
            <w:r w:rsidRPr="00033B9A">
              <w:rPr>
                <w:rFonts w:ascii="Arial" w:hAnsi="Arial" w:cs="Arial"/>
                <w:sz w:val="20"/>
                <w:szCs w:val="20"/>
              </w:rPr>
              <w:t xml:space="preserve">B3.3.5.3 </w:t>
            </w:r>
            <w:r w:rsidRPr="00033B9A">
              <w:rPr>
                <w:rFonts w:ascii="Arial" w:hAnsi="Arial" w:cs="Arial"/>
                <w:sz w:val="20"/>
                <w:szCs w:val="20"/>
              </w:rPr>
              <w:t>Methodology and implications of HLA typing.</w:t>
            </w:r>
          </w:p>
        </w:tc>
        <w:tc>
          <w:tcPr>
            <w:tcW w:w="572" w:type="dxa"/>
          </w:tcPr>
          <w:p w14:paraId="0A4ED239" w14:textId="77777777" w:rsidR="00D9749D" w:rsidRDefault="00D9749D" w:rsidP="00D9749D">
            <w:pPr>
              <w:rPr>
                <w:rFonts w:ascii="Arial" w:hAnsi="Arial" w:cs="Arial"/>
                <w:sz w:val="20"/>
                <w:szCs w:val="20"/>
              </w:rPr>
            </w:pPr>
          </w:p>
        </w:tc>
        <w:tc>
          <w:tcPr>
            <w:tcW w:w="483" w:type="dxa"/>
          </w:tcPr>
          <w:p w14:paraId="0A4ED23A" w14:textId="77777777" w:rsidR="00D9749D" w:rsidRDefault="00D9749D" w:rsidP="00D9749D">
            <w:pPr>
              <w:rPr>
                <w:rFonts w:ascii="Arial" w:hAnsi="Arial" w:cs="Arial"/>
                <w:sz w:val="20"/>
                <w:szCs w:val="20"/>
              </w:rPr>
            </w:pPr>
          </w:p>
        </w:tc>
        <w:tc>
          <w:tcPr>
            <w:tcW w:w="561" w:type="dxa"/>
          </w:tcPr>
          <w:p w14:paraId="0A4ED23B" w14:textId="77777777" w:rsidR="00D9749D" w:rsidRDefault="00D9749D" w:rsidP="00D9749D">
            <w:pPr>
              <w:rPr>
                <w:rFonts w:ascii="Arial" w:hAnsi="Arial" w:cs="Arial"/>
                <w:sz w:val="20"/>
                <w:szCs w:val="20"/>
              </w:rPr>
            </w:pPr>
          </w:p>
        </w:tc>
        <w:tc>
          <w:tcPr>
            <w:tcW w:w="1981" w:type="dxa"/>
          </w:tcPr>
          <w:p w14:paraId="0A4ED23C" w14:textId="77777777" w:rsidR="00D9749D" w:rsidRDefault="00D9749D" w:rsidP="00D9749D">
            <w:pPr>
              <w:rPr>
                <w:rFonts w:ascii="Arial" w:hAnsi="Arial" w:cs="Arial"/>
                <w:sz w:val="20"/>
                <w:szCs w:val="20"/>
              </w:rPr>
            </w:pPr>
          </w:p>
        </w:tc>
      </w:tr>
      <w:tr w:rsidR="00D62120" w14:paraId="0A4ED243" w14:textId="77777777" w:rsidTr="00BA5639">
        <w:trPr>
          <w:trHeight w:val="346"/>
        </w:trPr>
        <w:tc>
          <w:tcPr>
            <w:tcW w:w="5848" w:type="dxa"/>
          </w:tcPr>
          <w:p w14:paraId="0A4ED23E" w14:textId="77777777" w:rsidR="00D9749D" w:rsidRDefault="00427027" w:rsidP="00D9749D">
            <w:pPr>
              <w:rPr>
                <w:rFonts w:ascii="Arial" w:hAnsi="Arial" w:cs="Arial"/>
                <w:sz w:val="20"/>
                <w:szCs w:val="20"/>
              </w:rPr>
            </w:pPr>
            <w:r w:rsidRPr="00033B9A">
              <w:rPr>
                <w:rFonts w:ascii="Arial" w:hAnsi="Arial" w:cs="Arial"/>
                <w:sz w:val="20"/>
                <w:szCs w:val="20"/>
              </w:rPr>
              <w:t>B3.3.5.4 Methodology and implications of testing for chimerism.</w:t>
            </w:r>
          </w:p>
        </w:tc>
        <w:tc>
          <w:tcPr>
            <w:tcW w:w="572" w:type="dxa"/>
          </w:tcPr>
          <w:p w14:paraId="0A4ED23F" w14:textId="77777777" w:rsidR="00D9749D" w:rsidRDefault="00D9749D" w:rsidP="00D9749D">
            <w:pPr>
              <w:rPr>
                <w:rFonts w:ascii="Arial" w:hAnsi="Arial" w:cs="Arial"/>
                <w:sz w:val="20"/>
                <w:szCs w:val="20"/>
              </w:rPr>
            </w:pPr>
          </w:p>
        </w:tc>
        <w:tc>
          <w:tcPr>
            <w:tcW w:w="483" w:type="dxa"/>
          </w:tcPr>
          <w:p w14:paraId="0A4ED240" w14:textId="77777777" w:rsidR="00D9749D" w:rsidRDefault="00D9749D" w:rsidP="00D9749D">
            <w:pPr>
              <w:rPr>
                <w:rFonts w:ascii="Arial" w:hAnsi="Arial" w:cs="Arial"/>
                <w:sz w:val="20"/>
                <w:szCs w:val="20"/>
              </w:rPr>
            </w:pPr>
          </w:p>
        </w:tc>
        <w:tc>
          <w:tcPr>
            <w:tcW w:w="561" w:type="dxa"/>
          </w:tcPr>
          <w:p w14:paraId="0A4ED241" w14:textId="77777777" w:rsidR="00D9749D" w:rsidRDefault="00D9749D" w:rsidP="00D9749D">
            <w:pPr>
              <w:rPr>
                <w:rFonts w:ascii="Arial" w:hAnsi="Arial" w:cs="Arial"/>
                <w:sz w:val="20"/>
                <w:szCs w:val="20"/>
              </w:rPr>
            </w:pPr>
          </w:p>
        </w:tc>
        <w:tc>
          <w:tcPr>
            <w:tcW w:w="1981" w:type="dxa"/>
          </w:tcPr>
          <w:p w14:paraId="0A4ED242" w14:textId="77777777" w:rsidR="00D9749D" w:rsidRDefault="00D9749D" w:rsidP="00D9749D">
            <w:pPr>
              <w:rPr>
                <w:rFonts w:ascii="Arial" w:hAnsi="Arial" w:cs="Arial"/>
                <w:sz w:val="20"/>
                <w:szCs w:val="20"/>
              </w:rPr>
            </w:pPr>
          </w:p>
        </w:tc>
      </w:tr>
      <w:tr w:rsidR="00D62120" w14:paraId="0A4ED249" w14:textId="77777777" w:rsidTr="00BA5639">
        <w:trPr>
          <w:trHeight w:val="346"/>
        </w:trPr>
        <w:tc>
          <w:tcPr>
            <w:tcW w:w="5848" w:type="dxa"/>
          </w:tcPr>
          <w:p w14:paraId="0A4ED244" w14:textId="77777777" w:rsidR="00D9749D" w:rsidRDefault="00427027" w:rsidP="00D9749D">
            <w:pPr>
              <w:rPr>
                <w:rFonts w:ascii="Arial" w:hAnsi="Arial" w:cs="Arial"/>
                <w:sz w:val="20"/>
                <w:szCs w:val="20"/>
              </w:rPr>
            </w:pPr>
            <w:r w:rsidRPr="00033B9A">
              <w:rPr>
                <w:rFonts w:ascii="Arial" w:hAnsi="Arial" w:cs="Arial"/>
                <w:sz w:val="20"/>
                <w:szCs w:val="20"/>
              </w:rPr>
              <w:t>B3.3.5.5 Management of patients receiving ABO incompatible HPC products.</w:t>
            </w:r>
          </w:p>
        </w:tc>
        <w:tc>
          <w:tcPr>
            <w:tcW w:w="572" w:type="dxa"/>
          </w:tcPr>
          <w:p w14:paraId="0A4ED245" w14:textId="77777777" w:rsidR="00D9749D" w:rsidRDefault="00D9749D" w:rsidP="00D9749D">
            <w:pPr>
              <w:rPr>
                <w:rFonts w:ascii="Arial" w:hAnsi="Arial" w:cs="Arial"/>
                <w:sz w:val="20"/>
                <w:szCs w:val="20"/>
              </w:rPr>
            </w:pPr>
          </w:p>
        </w:tc>
        <w:tc>
          <w:tcPr>
            <w:tcW w:w="483" w:type="dxa"/>
          </w:tcPr>
          <w:p w14:paraId="0A4ED246" w14:textId="77777777" w:rsidR="00D9749D" w:rsidRDefault="00D9749D" w:rsidP="00D9749D">
            <w:pPr>
              <w:rPr>
                <w:rFonts w:ascii="Arial" w:hAnsi="Arial" w:cs="Arial"/>
                <w:sz w:val="20"/>
                <w:szCs w:val="20"/>
              </w:rPr>
            </w:pPr>
          </w:p>
        </w:tc>
        <w:tc>
          <w:tcPr>
            <w:tcW w:w="561" w:type="dxa"/>
          </w:tcPr>
          <w:p w14:paraId="0A4ED247" w14:textId="77777777" w:rsidR="00D9749D" w:rsidRDefault="00D9749D" w:rsidP="00D9749D">
            <w:pPr>
              <w:rPr>
                <w:rFonts w:ascii="Arial" w:hAnsi="Arial" w:cs="Arial"/>
                <w:sz w:val="20"/>
                <w:szCs w:val="20"/>
              </w:rPr>
            </w:pPr>
          </w:p>
        </w:tc>
        <w:tc>
          <w:tcPr>
            <w:tcW w:w="1981" w:type="dxa"/>
          </w:tcPr>
          <w:p w14:paraId="0A4ED248" w14:textId="77777777" w:rsidR="00D9749D" w:rsidRDefault="00D9749D" w:rsidP="00D9749D">
            <w:pPr>
              <w:rPr>
                <w:rFonts w:ascii="Arial" w:hAnsi="Arial" w:cs="Arial"/>
                <w:sz w:val="20"/>
                <w:szCs w:val="20"/>
              </w:rPr>
            </w:pPr>
          </w:p>
        </w:tc>
      </w:tr>
      <w:tr w:rsidR="00D62120" w14:paraId="0A4ED24F" w14:textId="77777777" w:rsidTr="00BA5639">
        <w:trPr>
          <w:trHeight w:val="346"/>
        </w:trPr>
        <w:tc>
          <w:tcPr>
            <w:tcW w:w="5848" w:type="dxa"/>
          </w:tcPr>
          <w:p w14:paraId="0A4ED24A" w14:textId="77777777" w:rsidR="00D9749D" w:rsidRDefault="00427027" w:rsidP="00D9749D">
            <w:pPr>
              <w:rPr>
                <w:rFonts w:ascii="Arial" w:hAnsi="Arial" w:cs="Arial"/>
                <w:sz w:val="20"/>
                <w:szCs w:val="20"/>
              </w:rPr>
            </w:pPr>
            <w:r w:rsidRPr="00033B9A">
              <w:rPr>
                <w:rFonts w:ascii="Arial" w:hAnsi="Arial" w:cs="Arial"/>
                <w:sz w:val="20"/>
                <w:szCs w:val="20"/>
              </w:rPr>
              <w:t xml:space="preserve">B3.3.5.6 Diagnosis and management of acute and </w:t>
            </w:r>
            <w:r w:rsidRPr="00033B9A">
              <w:rPr>
                <w:rFonts w:ascii="Arial" w:hAnsi="Arial" w:cs="Arial"/>
                <w:sz w:val="20"/>
                <w:szCs w:val="20"/>
              </w:rPr>
              <w:t>chronic GVHD.</w:t>
            </w:r>
          </w:p>
        </w:tc>
        <w:tc>
          <w:tcPr>
            <w:tcW w:w="572" w:type="dxa"/>
          </w:tcPr>
          <w:p w14:paraId="0A4ED24B" w14:textId="77777777" w:rsidR="00D9749D" w:rsidRDefault="00D9749D" w:rsidP="00D9749D">
            <w:pPr>
              <w:rPr>
                <w:rFonts w:ascii="Arial" w:hAnsi="Arial" w:cs="Arial"/>
                <w:sz w:val="20"/>
                <w:szCs w:val="20"/>
              </w:rPr>
            </w:pPr>
          </w:p>
        </w:tc>
        <w:tc>
          <w:tcPr>
            <w:tcW w:w="483" w:type="dxa"/>
          </w:tcPr>
          <w:p w14:paraId="0A4ED24C" w14:textId="77777777" w:rsidR="00D9749D" w:rsidRDefault="00D9749D" w:rsidP="00D9749D">
            <w:pPr>
              <w:rPr>
                <w:rFonts w:ascii="Arial" w:hAnsi="Arial" w:cs="Arial"/>
                <w:sz w:val="20"/>
                <w:szCs w:val="20"/>
              </w:rPr>
            </w:pPr>
          </w:p>
        </w:tc>
        <w:tc>
          <w:tcPr>
            <w:tcW w:w="561" w:type="dxa"/>
          </w:tcPr>
          <w:p w14:paraId="0A4ED24D" w14:textId="77777777" w:rsidR="00D9749D" w:rsidRDefault="00D9749D" w:rsidP="00D9749D">
            <w:pPr>
              <w:rPr>
                <w:rFonts w:ascii="Arial" w:hAnsi="Arial" w:cs="Arial"/>
                <w:sz w:val="20"/>
                <w:szCs w:val="20"/>
              </w:rPr>
            </w:pPr>
          </w:p>
        </w:tc>
        <w:tc>
          <w:tcPr>
            <w:tcW w:w="1981" w:type="dxa"/>
          </w:tcPr>
          <w:p w14:paraId="0A4ED24E" w14:textId="77777777" w:rsidR="00D9749D" w:rsidRDefault="00D9749D" w:rsidP="00D9749D">
            <w:pPr>
              <w:rPr>
                <w:rFonts w:ascii="Arial" w:hAnsi="Arial" w:cs="Arial"/>
                <w:sz w:val="20"/>
                <w:szCs w:val="20"/>
              </w:rPr>
            </w:pPr>
          </w:p>
        </w:tc>
      </w:tr>
      <w:tr w:rsidR="00D62120" w14:paraId="0A4ED251" w14:textId="77777777" w:rsidTr="00BA5639">
        <w:trPr>
          <w:trHeight w:val="346"/>
        </w:trPr>
        <w:tc>
          <w:tcPr>
            <w:tcW w:w="9445" w:type="dxa"/>
            <w:gridSpan w:val="5"/>
          </w:tcPr>
          <w:p w14:paraId="0A4ED250" w14:textId="77777777" w:rsidR="00D9749D" w:rsidRDefault="00427027" w:rsidP="00D9749D">
            <w:pPr>
              <w:rPr>
                <w:rFonts w:ascii="Arial" w:hAnsi="Arial" w:cs="Arial"/>
                <w:sz w:val="20"/>
                <w:szCs w:val="20"/>
              </w:rPr>
            </w:pPr>
            <w:r w:rsidRPr="00033B9A">
              <w:rPr>
                <w:rFonts w:ascii="Arial" w:hAnsi="Arial" w:cs="Arial"/>
                <w:b/>
                <w:bCs/>
                <w:i/>
                <w:iCs/>
                <w:sz w:val="20"/>
                <w:szCs w:val="20"/>
              </w:rPr>
              <w:t>Knowledge in the following procedures for both autologous and allogeneic transplantation:</w:t>
            </w:r>
          </w:p>
        </w:tc>
      </w:tr>
      <w:tr w:rsidR="00D62120" w14:paraId="0A4ED257" w14:textId="77777777" w:rsidTr="00BA5639">
        <w:trPr>
          <w:trHeight w:val="346"/>
        </w:trPr>
        <w:tc>
          <w:tcPr>
            <w:tcW w:w="5848" w:type="dxa"/>
          </w:tcPr>
          <w:p w14:paraId="0A4ED252" w14:textId="77777777" w:rsidR="00D9749D" w:rsidRDefault="00427027" w:rsidP="00D9749D">
            <w:pPr>
              <w:rPr>
                <w:rFonts w:ascii="Arial" w:hAnsi="Arial" w:cs="Arial"/>
                <w:sz w:val="20"/>
                <w:szCs w:val="20"/>
              </w:rPr>
            </w:pPr>
            <w:r w:rsidRPr="00033B9A">
              <w:rPr>
                <w:rFonts w:ascii="Arial" w:hAnsi="Arial" w:cs="Arial"/>
                <w:sz w:val="20"/>
                <w:szCs w:val="20"/>
              </w:rPr>
              <w:t xml:space="preserve">B3.3.6.1 Apheresis collection procedures. </w:t>
            </w:r>
          </w:p>
        </w:tc>
        <w:tc>
          <w:tcPr>
            <w:tcW w:w="572" w:type="dxa"/>
          </w:tcPr>
          <w:p w14:paraId="0A4ED253" w14:textId="77777777" w:rsidR="00D9749D" w:rsidRDefault="00D9749D" w:rsidP="00D9749D">
            <w:pPr>
              <w:rPr>
                <w:rFonts w:ascii="Arial" w:hAnsi="Arial" w:cs="Arial"/>
                <w:sz w:val="20"/>
                <w:szCs w:val="20"/>
              </w:rPr>
            </w:pPr>
          </w:p>
        </w:tc>
        <w:tc>
          <w:tcPr>
            <w:tcW w:w="483" w:type="dxa"/>
          </w:tcPr>
          <w:p w14:paraId="0A4ED254" w14:textId="77777777" w:rsidR="00D9749D" w:rsidRDefault="00D9749D" w:rsidP="00D9749D">
            <w:pPr>
              <w:rPr>
                <w:rFonts w:ascii="Arial" w:hAnsi="Arial" w:cs="Arial"/>
                <w:sz w:val="20"/>
                <w:szCs w:val="20"/>
              </w:rPr>
            </w:pPr>
          </w:p>
        </w:tc>
        <w:tc>
          <w:tcPr>
            <w:tcW w:w="561" w:type="dxa"/>
          </w:tcPr>
          <w:p w14:paraId="0A4ED255" w14:textId="77777777" w:rsidR="00D9749D" w:rsidRDefault="00D9749D" w:rsidP="00D9749D">
            <w:pPr>
              <w:rPr>
                <w:rFonts w:ascii="Arial" w:hAnsi="Arial" w:cs="Arial"/>
                <w:sz w:val="20"/>
                <w:szCs w:val="20"/>
              </w:rPr>
            </w:pPr>
          </w:p>
        </w:tc>
        <w:tc>
          <w:tcPr>
            <w:tcW w:w="1981" w:type="dxa"/>
          </w:tcPr>
          <w:p w14:paraId="0A4ED256" w14:textId="77777777" w:rsidR="00D9749D" w:rsidRDefault="00D9749D" w:rsidP="00D9749D">
            <w:pPr>
              <w:rPr>
                <w:rFonts w:ascii="Arial" w:hAnsi="Arial" w:cs="Arial"/>
                <w:sz w:val="20"/>
                <w:szCs w:val="20"/>
              </w:rPr>
            </w:pPr>
          </w:p>
        </w:tc>
      </w:tr>
      <w:tr w:rsidR="00D62120" w14:paraId="0A4ED25D" w14:textId="77777777" w:rsidTr="00BA5639">
        <w:trPr>
          <w:trHeight w:val="346"/>
        </w:trPr>
        <w:tc>
          <w:tcPr>
            <w:tcW w:w="5848" w:type="dxa"/>
          </w:tcPr>
          <w:p w14:paraId="0A4ED258" w14:textId="77777777" w:rsidR="00D9749D" w:rsidRDefault="00427027" w:rsidP="00D9749D">
            <w:pPr>
              <w:rPr>
                <w:rFonts w:ascii="Arial" w:hAnsi="Arial" w:cs="Arial"/>
                <w:sz w:val="20"/>
                <w:szCs w:val="20"/>
              </w:rPr>
            </w:pPr>
            <w:r w:rsidRPr="00033B9A">
              <w:rPr>
                <w:rFonts w:ascii="Arial" w:hAnsi="Arial" w:cs="Arial"/>
                <w:sz w:val="20"/>
                <w:szCs w:val="20"/>
              </w:rPr>
              <w:t>B3.3.6.2 Bone marrow harvest procedures.</w:t>
            </w:r>
          </w:p>
        </w:tc>
        <w:tc>
          <w:tcPr>
            <w:tcW w:w="572" w:type="dxa"/>
          </w:tcPr>
          <w:p w14:paraId="0A4ED259" w14:textId="77777777" w:rsidR="00D9749D" w:rsidRDefault="00D9749D" w:rsidP="00D9749D">
            <w:pPr>
              <w:rPr>
                <w:rFonts w:ascii="Arial" w:hAnsi="Arial" w:cs="Arial"/>
                <w:sz w:val="20"/>
                <w:szCs w:val="20"/>
              </w:rPr>
            </w:pPr>
          </w:p>
        </w:tc>
        <w:tc>
          <w:tcPr>
            <w:tcW w:w="483" w:type="dxa"/>
          </w:tcPr>
          <w:p w14:paraId="0A4ED25A" w14:textId="77777777" w:rsidR="00D9749D" w:rsidRDefault="00D9749D" w:rsidP="00D9749D">
            <w:pPr>
              <w:rPr>
                <w:rFonts w:ascii="Arial" w:hAnsi="Arial" w:cs="Arial"/>
                <w:sz w:val="20"/>
                <w:szCs w:val="20"/>
              </w:rPr>
            </w:pPr>
          </w:p>
        </w:tc>
        <w:tc>
          <w:tcPr>
            <w:tcW w:w="561" w:type="dxa"/>
          </w:tcPr>
          <w:p w14:paraId="0A4ED25B" w14:textId="77777777" w:rsidR="00D9749D" w:rsidRDefault="00D9749D" w:rsidP="00D9749D">
            <w:pPr>
              <w:rPr>
                <w:rFonts w:ascii="Arial" w:hAnsi="Arial" w:cs="Arial"/>
                <w:sz w:val="20"/>
                <w:szCs w:val="20"/>
              </w:rPr>
            </w:pPr>
          </w:p>
        </w:tc>
        <w:tc>
          <w:tcPr>
            <w:tcW w:w="1981" w:type="dxa"/>
          </w:tcPr>
          <w:p w14:paraId="0A4ED25C" w14:textId="77777777" w:rsidR="00D9749D" w:rsidRDefault="00D9749D" w:rsidP="00D9749D">
            <w:pPr>
              <w:rPr>
                <w:rFonts w:ascii="Arial" w:hAnsi="Arial" w:cs="Arial"/>
                <w:sz w:val="20"/>
                <w:szCs w:val="20"/>
              </w:rPr>
            </w:pPr>
          </w:p>
        </w:tc>
      </w:tr>
      <w:tr w:rsidR="00D62120" w14:paraId="0A4ED263" w14:textId="77777777" w:rsidTr="00BA5639">
        <w:trPr>
          <w:trHeight w:val="346"/>
        </w:trPr>
        <w:tc>
          <w:tcPr>
            <w:tcW w:w="5848" w:type="dxa"/>
          </w:tcPr>
          <w:p w14:paraId="0A4ED25E" w14:textId="77777777" w:rsidR="00D9749D" w:rsidRDefault="00427027" w:rsidP="00D9749D">
            <w:pPr>
              <w:rPr>
                <w:rFonts w:ascii="Arial" w:hAnsi="Arial" w:cs="Arial"/>
                <w:sz w:val="20"/>
                <w:szCs w:val="20"/>
              </w:rPr>
            </w:pPr>
            <w:r w:rsidRPr="00033B9A">
              <w:rPr>
                <w:rFonts w:ascii="Arial" w:hAnsi="Arial" w:cs="Arial"/>
                <w:sz w:val="20"/>
                <w:szCs w:val="20"/>
              </w:rPr>
              <w:t xml:space="preserve">B3.3.6.3 Cellular therapy product </w:t>
            </w:r>
            <w:r w:rsidRPr="00033B9A">
              <w:rPr>
                <w:rFonts w:ascii="Arial" w:hAnsi="Arial" w:cs="Arial"/>
                <w:sz w:val="20"/>
                <w:szCs w:val="20"/>
              </w:rPr>
              <w:t>processing, including washing and diluting.</w:t>
            </w:r>
          </w:p>
        </w:tc>
        <w:tc>
          <w:tcPr>
            <w:tcW w:w="572" w:type="dxa"/>
          </w:tcPr>
          <w:p w14:paraId="0A4ED25F" w14:textId="77777777" w:rsidR="00D9749D" w:rsidRDefault="00D9749D" w:rsidP="00D9749D">
            <w:pPr>
              <w:rPr>
                <w:rFonts w:ascii="Arial" w:hAnsi="Arial" w:cs="Arial"/>
                <w:sz w:val="20"/>
                <w:szCs w:val="20"/>
              </w:rPr>
            </w:pPr>
          </w:p>
        </w:tc>
        <w:tc>
          <w:tcPr>
            <w:tcW w:w="483" w:type="dxa"/>
          </w:tcPr>
          <w:p w14:paraId="0A4ED260" w14:textId="77777777" w:rsidR="00D9749D" w:rsidRDefault="00D9749D" w:rsidP="00D9749D">
            <w:pPr>
              <w:rPr>
                <w:rFonts w:ascii="Arial" w:hAnsi="Arial" w:cs="Arial"/>
                <w:sz w:val="20"/>
                <w:szCs w:val="20"/>
              </w:rPr>
            </w:pPr>
          </w:p>
        </w:tc>
        <w:tc>
          <w:tcPr>
            <w:tcW w:w="561" w:type="dxa"/>
          </w:tcPr>
          <w:p w14:paraId="0A4ED261" w14:textId="77777777" w:rsidR="00D9749D" w:rsidRDefault="00D9749D" w:rsidP="00D9749D">
            <w:pPr>
              <w:rPr>
                <w:rFonts w:ascii="Arial" w:hAnsi="Arial" w:cs="Arial"/>
                <w:sz w:val="20"/>
                <w:szCs w:val="20"/>
              </w:rPr>
            </w:pPr>
          </w:p>
        </w:tc>
        <w:tc>
          <w:tcPr>
            <w:tcW w:w="1981" w:type="dxa"/>
          </w:tcPr>
          <w:p w14:paraId="0A4ED262" w14:textId="77777777" w:rsidR="00D9749D" w:rsidRDefault="00D9749D" w:rsidP="00D9749D">
            <w:pPr>
              <w:rPr>
                <w:rFonts w:ascii="Arial" w:hAnsi="Arial" w:cs="Arial"/>
                <w:sz w:val="20"/>
                <w:szCs w:val="20"/>
              </w:rPr>
            </w:pPr>
          </w:p>
        </w:tc>
      </w:tr>
      <w:tr w:rsidR="00D62120" w14:paraId="0A4ED269" w14:textId="77777777" w:rsidTr="00BA5639">
        <w:trPr>
          <w:trHeight w:val="346"/>
        </w:trPr>
        <w:tc>
          <w:tcPr>
            <w:tcW w:w="5848" w:type="dxa"/>
          </w:tcPr>
          <w:p w14:paraId="0A4ED264" w14:textId="77777777" w:rsidR="00D9749D" w:rsidRDefault="00427027" w:rsidP="00D9749D">
            <w:pPr>
              <w:rPr>
                <w:rFonts w:ascii="Arial" w:hAnsi="Arial" w:cs="Arial"/>
                <w:sz w:val="20"/>
                <w:szCs w:val="20"/>
              </w:rPr>
            </w:pPr>
            <w:r w:rsidRPr="00033B9A">
              <w:rPr>
                <w:rFonts w:ascii="Arial" w:hAnsi="Arial" w:cs="Arial"/>
                <w:sz w:val="20"/>
                <w:szCs w:val="20"/>
              </w:rPr>
              <w:t>B3.3.6.4 Cellular therapy product cryopreservation.</w:t>
            </w:r>
          </w:p>
        </w:tc>
        <w:tc>
          <w:tcPr>
            <w:tcW w:w="572" w:type="dxa"/>
          </w:tcPr>
          <w:p w14:paraId="0A4ED265" w14:textId="77777777" w:rsidR="00D9749D" w:rsidRDefault="00D9749D" w:rsidP="00D9749D">
            <w:pPr>
              <w:rPr>
                <w:rFonts w:ascii="Arial" w:hAnsi="Arial" w:cs="Arial"/>
                <w:sz w:val="20"/>
                <w:szCs w:val="20"/>
              </w:rPr>
            </w:pPr>
          </w:p>
        </w:tc>
        <w:tc>
          <w:tcPr>
            <w:tcW w:w="483" w:type="dxa"/>
          </w:tcPr>
          <w:p w14:paraId="0A4ED266" w14:textId="77777777" w:rsidR="00D9749D" w:rsidRDefault="00D9749D" w:rsidP="00D9749D">
            <w:pPr>
              <w:rPr>
                <w:rFonts w:ascii="Arial" w:hAnsi="Arial" w:cs="Arial"/>
                <w:sz w:val="20"/>
                <w:szCs w:val="20"/>
              </w:rPr>
            </w:pPr>
          </w:p>
        </w:tc>
        <w:tc>
          <w:tcPr>
            <w:tcW w:w="561" w:type="dxa"/>
          </w:tcPr>
          <w:p w14:paraId="0A4ED267" w14:textId="77777777" w:rsidR="00D9749D" w:rsidRDefault="00D9749D" w:rsidP="00D9749D">
            <w:pPr>
              <w:rPr>
                <w:rFonts w:ascii="Arial" w:hAnsi="Arial" w:cs="Arial"/>
                <w:sz w:val="20"/>
                <w:szCs w:val="20"/>
              </w:rPr>
            </w:pPr>
          </w:p>
        </w:tc>
        <w:tc>
          <w:tcPr>
            <w:tcW w:w="1981" w:type="dxa"/>
          </w:tcPr>
          <w:p w14:paraId="0A4ED268" w14:textId="77777777" w:rsidR="00D9749D" w:rsidRDefault="00D9749D" w:rsidP="00D9749D">
            <w:pPr>
              <w:rPr>
                <w:rFonts w:ascii="Arial" w:hAnsi="Arial" w:cs="Arial"/>
                <w:sz w:val="20"/>
                <w:szCs w:val="20"/>
              </w:rPr>
            </w:pPr>
          </w:p>
        </w:tc>
      </w:tr>
      <w:tr w:rsidR="00D62120" w14:paraId="0A4ED26F" w14:textId="77777777" w:rsidTr="00BA5639">
        <w:trPr>
          <w:trHeight w:val="346"/>
        </w:trPr>
        <w:tc>
          <w:tcPr>
            <w:tcW w:w="5848" w:type="dxa"/>
          </w:tcPr>
          <w:p w14:paraId="0A4ED26A" w14:textId="77777777" w:rsidR="00E11F2E" w:rsidRPr="00033B9A" w:rsidRDefault="00427027" w:rsidP="00D9749D">
            <w:pPr>
              <w:rPr>
                <w:rFonts w:ascii="Arial" w:hAnsi="Arial" w:cs="Arial"/>
                <w:sz w:val="20"/>
                <w:szCs w:val="20"/>
              </w:rPr>
            </w:pPr>
            <w:r w:rsidRPr="00033B9A">
              <w:rPr>
                <w:rFonts w:ascii="Arial" w:hAnsi="Arial" w:cs="Arial"/>
                <w:sz w:val="20"/>
                <w:szCs w:val="20"/>
              </w:rPr>
              <w:t>B3.3.6.5 Cellular therapy product administration procedures.</w:t>
            </w:r>
          </w:p>
        </w:tc>
        <w:tc>
          <w:tcPr>
            <w:tcW w:w="572" w:type="dxa"/>
          </w:tcPr>
          <w:p w14:paraId="0A4ED26B" w14:textId="77777777" w:rsidR="00E11F2E" w:rsidRDefault="00E11F2E" w:rsidP="00D9749D">
            <w:pPr>
              <w:rPr>
                <w:rFonts w:ascii="Arial" w:hAnsi="Arial" w:cs="Arial"/>
                <w:sz w:val="20"/>
                <w:szCs w:val="20"/>
              </w:rPr>
            </w:pPr>
          </w:p>
        </w:tc>
        <w:tc>
          <w:tcPr>
            <w:tcW w:w="483" w:type="dxa"/>
          </w:tcPr>
          <w:p w14:paraId="0A4ED26C" w14:textId="77777777" w:rsidR="00E11F2E" w:rsidRDefault="00E11F2E" w:rsidP="00D9749D">
            <w:pPr>
              <w:rPr>
                <w:rFonts w:ascii="Arial" w:hAnsi="Arial" w:cs="Arial"/>
                <w:sz w:val="20"/>
                <w:szCs w:val="20"/>
              </w:rPr>
            </w:pPr>
          </w:p>
        </w:tc>
        <w:tc>
          <w:tcPr>
            <w:tcW w:w="561" w:type="dxa"/>
          </w:tcPr>
          <w:p w14:paraId="0A4ED26D" w14:textId="77777777" w:rsidR="00E11F2E" w:rsidRDefault="00E11F2E" w:rsidP="00D9749D">
            <w:pPr>
              <w:rPr>
                <w:rFonts w:ascii="Arial" w:hAnsi="Arial" w:cs="Arial"/>
                <w:sz w:val="20"/>
                <w:szCs w:val="20"/>
              </w:rPr>
            </w:pPr>
          </w:p>
        </w:tc>
        <w:tc>
          <w:tcPr>
            <w:tcW w:w="1981" w:type="dxa"/>
          </w:tcPr>
          <w:p w14:paraId="0A4ED26E" w14:textId="77777777" w:rsidR="00E11F2E" w:rsidRDefault="00E11F2E" w:rsidP="00D9749D">
            <w:pPr>
              <w:rPr>
                <w:rFonts w:ascii="Arial" w:hAnsi="Arial" w:cs="Arial"/>
                <w:sz w:val="20"/>
                <w:szCs w:val="20"/>
              </w:rPr>
            </w:pPr>
          </w:p>
        </w:tc>
      </w:tr>
      <w:tr w:rsidR="00D62120" w14:paraId="0A4ED275" w14:textId="77777777" w:rsidTr="00BA5639">
        <w:trPr>
          <w:trHeight w:val="346"/>
        </w:trPr>
        <w:tc>
          <w:tcPr>
            <w:tcW w:w="5848" w:type="dxa"/>
          </w:tcPr>
          <w:p w14:paraId="0A4ED270" w14:textId="77777777" w:rsidR="00D9749D" w:rsidRDefault="00427027" w:rsidP="00D9749D">
            <w:pPr>
              <w:rPr>
                <w:rFonts w:ascii="Arial" w:hAnsi="Arial" w:cs="Arial"/>
                <w:sz w:val="20"/>
                <w:szCs w:val="20"/>
              </w:rPr>
            </w:pPr>
            <w:r w:rsidRPr="00033B9A">
              <w:rPr>
                <w:rFonts w:ascii="Arial" w:hAnsi="Arial" w:cs="Arial"/>
                <w:sz w:val="20"/>
                <w:szCs w:val="20"/>
              </w:rPr>
              <w:t>B3.3.6.6 Extracorporeal photopheresis for GVHD.</w:t>
            </w:r>
          </w:p>
        </w:tc>
        <w:tc>
          <w:tcPr>
            <w:tcW w:w="572" w:type="dxa"/>
          </w:tcPr>
          <w:p w14:paraId="0A4ED271" w14:textId="77777777" w:rsidR="00D9749D" w:rsidRDefault="00D9749D" w:rsidP="00D9749D">
            <w:pPr>
              <w:rPr>
                <w:rFonts w:ascii="Arial" w:hAnsi="Arial" w:cs="Arial"/>
                <w:sz w:val="20"/>
                <w:szCs w:val="20"/>
              </w:rPr>
            </w:pPr>
          </w:p>
        </w:tc>
        <w:tc>
          <w:tcPr>
            <w:tcW w:w="483" w:type="dxa"/>
          </w:tcPr>
          <w:p w14:paraId="0A4ED272" w14:textId="77777777" w:rsidR="00D9749D" w:rsidRDefault="00D9749D" w:rsidP="00D9749D">
            <w:pPr>
              <w:rPr>
                <w:rFonts w:ascii="Arial" w:hAnsi="Arial" w:cs="Arial"/>
                <w:sz w:val="20"/>
                <w:szCs w:val="20"/>
              </w:rPr>
            </w:pPr>
          </w:p>
        </w:tc>
        <w:tc>
          <w:tcPr>
            <w:tcW w:w="561" w:type="dxa"/>
          </w:tcPr>
          <w:p w14:paraId="0A4ED273" w14:textId="77777777" w:rsidR="00D9749D" w:rsidRDefault="00D9749D" w:rsidP="00D9749D">
            <w:pPr>
              <w:rPr>
                <w:rFonts w:ascii="Arial" w:hAnsi="Arial" w:cs="Arial"/>
                <w:sz w:val="20"/>
                <w:szCs w:val="20"/>
              </w:rPr>
            </w:pPr>
          </w:p>
        </w:tc>
        <w:tc>
          <w:tcPr>
            <w:tcW w:w="1981" w:type="dxa"/>
          </w:tcPr>
          <w:p w14:paraId="0A4ED274" w14:textId="77777777" w:rsidR="00D9749D" w:rsidRDefault="00D9749D" w:rsidP="00D9749D">
            <w:pPr>
              <w:rPr>
                <w:rFonts w:ascii="Arial" w:hAnsi="Arial" w:cs="Arial"/>
                <w:sz w:val="20"/>
                <w:szCs w:val="20"/>
              </w:rPr>
            </w:pPr>
          </w:p>
        </w:tc>
      </w:tr>
    </w:tbl>
    <w:p w14:paraId="0A4ED276" w14:textId="77777777" w:rsidR="00422336" w:rsidRDefault="00422336"/>
    <w:p w14:paraId="0A4ED277" w14:textId="77777777" w:rsidR="00422336" w:rsidRPr="006C66E2" w:rsidRDefault="00427027" w:rsidP="00893745">
      <w:pPr>
        <w:jc w:val="both"/>
        <w:rPr>
          <w:rFonts w:ascii="Arial" w:hAnsi="Arial" w:cs="Arial"/>
          <w:b/>
          <w:bCs/>
          <w:sz w:val="20"/>
          <w:szCs w:val="20"/>
        </w:rPr>
      </w:pPr>
      <w:r w:rsidRPr="006C66E2">
        <w:rPr>
          <w:rFonts w:ascii="Arial" w:hAnsi="Arial" w:cs="Arial"/>
          <w:b/>
          <w:bCs/>
          <w:sz w:val="20"/>
          <w:szCs w:val="20"/>
        </w:rPr>
        <w:t xml:space="preserve">Reviewer Signature and </w:t>
      </w:r>
      <w:r w:rsidRPr="006C66E2">
        <w:rPr>
          <w:rFonts w:ascii="Arial" w:hAnsi="Arial" w:cs="Arial"/>
          <w:b/>
          <w:bCs/>
          <w:sz w:val="20"/>
          <w:szCs w:val="20"/>
        </w:rPr>
        <w:t>Date (must be signed by someone other than personnel being assessed):</w:t>
      </w:r>
    </w:p>
    <w:p w14:paraId="0A4ED278" w14:textId="77777777" w:rsidR="00422336" w:rsidRPr="00E920E6" w:rsidRDefault="00427027" w:rsidP="00E920E6">
      <w:pPr>
        <w:spacing w:before="240"/>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sectPr w:rsidR="00422336" w:rsidRPr="00E920E6" w:rsidSect="00C339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528B" w14:textId="77777777" w:rsidR="00000000" w:rsidRDefault="00427027">
      <w:pPr>
        <w:spacing w:after="0" w:line="240" w:lineRule="auto"/>
      </w:pPr>
      <w:r>
        <w:separator/>
      </w:r>
    </w:p>
  </w:endnote>
  <w:endnote w:type="continuationSeparator" w:id="0">
    <w:p w14:paraId="6C4CF774" w14:textId="77777777" w:rsidR="00000000" w:rsidRDefault="0042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482E" w14:textId="77777777" w:rsidR="006E3F41" w:rsidRDefault="006E3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27B" w14:textId="77777777" w:rsidR="00C339A8" w:rsidRDefault="00427027" w:rsidP="00C339A8">
    <w:pPr>
      <w:pStyle w:val="Footer"/>
      <w:jc w:val="right"/>
    </w:pPr>
    <w:sdt>
      <w:sdtPr>
        <w:rPr>
          <w:rFonts w:ascii="Arial" w:hAnsi="Arial" w:cs="Arial"/>
          <w:i/>
          <w:iCs/>
          <w:sz w:val="16"/>
          <w:szCs w:val="16"/>
        </w:rPr>
        <w:id w:val="-1473597104"/>
        <w:docPartObj>
          <w:docPartGallery w:val="Page Numbers (Top of Page)"/>
          <w:docPartUnique/>
        </w:docPartObj>
      </w:sdtPr>
      <w:sdtEndPr/>
      <w:sdtContent>
        <w:r w:rsidRPr="00C339A8">
          <w:rPr>
            <w:rFonts w:ascii="Arial" w:hAnsi="Arial" w:cs="Arial"/>
            <w:i/>
            <w:iCs/>
            <w:sz w:val="16"/>
            <w:szCs w:val="16"/>
          </w:rPr>
          <w:fldChar w:fldCharType="begin"/>
        </w:r>
        <w:r w:rsidRPr="00C339A8">
          <w:rPr>
            <w:rFonts w:ascii="Arial" w:hAnsi="Arial" w:cs="Arial"/>
            <w:i/>
            <w:iCs/>
            <w:sz w:val="16"/>
            <w:szCs w:val="16"/>
          </w:rPr>
          <w:instrText xml:space="preserve"> DOCVARIABLE "Reference #" \* MERGEFORMAT </w:instrText>
        </w:r>
        <w:r w:rsidRPr="00C339A8">
          <w:rPr>
            <w:rFonts w:ascii="Arial" w:hAnsi="Arial" w:cs="Arial"/>
            <w:i/>
            <w:iCs/>
            <w:sz w:val="16"/>
            <w:szCs w:val="16"/>
          </w:rPr>
          <w:fldChar w:fldCharType="separate"/>
        </w:r>
        <w:r w:rsidRPr="00C339A8">
          <w:rPr>
            <w:rFonts w:ascii="Arial" w:hAnsi="Arial" w:cs="Arial"/>
            <w:i/>
            <w:iCs/>
            <w:sz w:val="16"/>
            <w:szCs w:val="16"/>
          </w:rPr>
          <w:t>ACC.FRM.6.045</w:t>
        </w:r>
        <w:r w:rsidRPr="00C339A8">
          <w:rPr>
            <w:rFonts w:ascii="Arial" w:hAnsi="Arial" w:cs="Arial"/>
            <w:i/>
            <w:iCs/>
            <w:sz w:val="16"/>
            <w:szCs w:val="16"/>
          </w:rPr>
          <w:fldChar w:fldCharType="end"/>
        </w:r>
        <w:r w:rsidRPr="00C339A8">
          <w:rPr>
            <w:rFonts w:ascii="Arial" w:hAnsi="Arial" w:cs="Arial"/>
            <w:i/>
            <w:iCs/>
            <w:sz w:val="16"/>
            <w:szCs w:val="16"/>
          </w:rPr>
          <w:t xml:space="preserve">, </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"Document Title" \* MERGEFORMAT </w:instrText>
        </w:r>
        <w:r w:rsidRPr="00C339A8">
          <w:rPr>
            <w:rFonts w:ascii="Arial" w:hAnsi="Arial" w:cs="Arial"/>
            <w:i/>
            <w:iCs/>
            <w:sz w:val="16"/>
            <w:szCs w:val="16"/>
          </w:rPr>
          <w:fldChar w:fldCharType="separate"/>
        </w:r>
        <w:r w:rsidRPr="00C339A8">
          <w:rPr>
            <w:rFonts w:ascii="Arial" w:hAnsi="Arial" w:cs="Arial"/>
            <w:i/>
            <w:iCs/>
            <w:sz w:val="16"/>
            <w:szCs w:val="16"/>
          </w:rPr>
          <w:t>Training and Competency Form: FACT-JACIE Standards, Version 8.0</w:t>
        </w:r>
        <w:r w:rsidRPr="00C339A8">
          <w:rPr>
            <w:rFonts w:ascii="Arial" w:hAnsi="Arial" w:cs="Arial"/>
            <w:i/>
            <w:iCs/>
            <w:sz w:val="16"/>
            <w:szCs w:val="16"/>
          </w:rPr>
          <w:fldChar w:fldCharType="end"/>
        </w:r>
        <w:r w:rsidRPr="00C339A8">
          <w:rPr>
            <w:rFonts w:ascii="Arial" w:hAnsi="Arial" w:cs="Arial"/>
            <w:i/>
            <w:iCs/>
            <w:sz w:val="16"/>
            <w:szCs w:val="16"/>
          </w:rPr>
          <w:t>, R</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"Version" \* MERGEFORMAT </w:instrText>
        </w:r>
        <w:r w:rsidRPr="00C339A8">
          <w:rPr>
            <w:rFonts w:ascii="Arial" w:hAnsi="Arial" w:cs="Arial"/>
            <w:i/>
            <w:iCs/>
            <w:sz w:val="16"/>
            <w:szCs w:val="16"/>
          </w:rPr>
          <w:fldChar w:fldCharType="separate"/>
        </w:r>
        <w:r w:rsidRPr="00C339A8">
          <w:rPr>
            <w:rFonts w:ascii="Arial" w:hAnsi="Arial" w:cs="Arial"/>
            <w:i/>
            <w:iCs/>
            <w:sz w:val="16"/>
            <w:szCs w:val="16"/>
          </w:rPr>
          <w:t>1</w:t>
        </w:r>
        <w:r w:rsidRPr="00C339A8">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05/16/2021</w:t>
        </w:r>
        <w:r w:rsidR="009A4C61" w:rsidRPr="009A4C61">
          <w:rPr>
            <w:rFonts w:ascii="Arial" w:hAnsi="Arial" w:cs="Arial"/>
            <w:i/>
            <w:iCs/>
            <w:sz w:val="16"/>
            <w:szCs w:val="16"/>
          </w:rPr>
          <w:fldChar w:fldCharType="end"/>
        </w:r>
        <w:r w:rsidRPr="00C339A8">
          <w:rPr>
            <w:rFonts w:ascii="Arial" w:hAnsi="Arial" w:cs="Arial"/>
            <w:i/>
            <w:iCs/>
            <w:sz w:val="16"/>
            <w:szCs w:val="16"/>
          </w:rPr>
          <w:tab/>
          <w:t xml:space="preserve">Page </w:t>
        </w:r>
        <w:r w:rsidRPr="00C339A8">
          <w:rPr>
            <w:rFonts w:ascii="Arial" w:hAnsi="Arial" w:cs="Arial"/>
            <w:i/>
            <w:iCs/>
            <w:sz w:val="16"/>
            <w:szCs w:val="16"/>
          </w:rPr>
          <w:fldChar w:fldCharType="begin"/>
        </w:r>
        <w:r w:rsidRPr="00C339A8">
          <w:rPr>
            <w:rFonts w:ascii="Arial" w:hAnsi="Arial" w:cs="Arial"/>
            <w:i/>
            <w:iCs/>
            <w:sz w:val="16"/>
            <w:szCs w:val="16"/>
          </w:rPr>
          <w:instrText xml:space="preserve"> PAGE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r w:rsidRPr="00C339A8">
          <w:rPr>
            <w:rFonts w:ascii="Arial" w:hAnsi="Arial" w:cs="Arial"/>
            <w:i/>
            <w:iCs/>
            <w:sz w:val="16"/>
            <w:szCs w:val="16"/>
          </w:rPr>
          <w:t xml:space="preserve"> of </w:t>
        </w:r>
        <w:r w:rsidRPr="00C339A8">
          <w:rPr>
            <w:rFonts w:ascii="Arial" w:hAnsi="Arial" w:cs="Arial"/>
            <w:i/>
            <w:iCs/>
            <w:sz w:val="16"/>
            <w:szCs w:val="16"/>
          </w:rPr>
          <w:fldChar w:fldCharType="begin"/>
        </w:r>
        <w:r w:rsidRPr="00C339A8">
          <w:rPr>
            <w:rFonts w:ascii="Arial" w:hAnsi="Arial" w:cs="Arial"/>
            <w:i/>
            <w:iCs/>
            <w:sz w:val="16"/>
            <w:szCs w:val="16"/>
          </w:rPr>
          <w:instrText xml:space="preserve"> NUMPAGES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829168"/>
      <w:docPartObj>
        <w:docPartGallery w:val="Page Numbers (Bottom of Page)"/>
        <w:docPartUnique/>
      </w:docPartObj>
    </w:sdtPr>
    <w:sdtEndPr/>
    <w:sdtContent>
      <w:sdt>
        <w:sdtPr>
          <w:id w:val="-1769616900"/>
          <w:docPartObj>
            <w:docPartGallery w:val="Page Numbers (Top of Page)"/>
            <w:docPartUnique/>
          </w:docPartObj>
        </w:sdtPr>
        <w:sdtEndPr/>
        <w:sdtContent>
          <w:p w14:paraId="0A4ED27D" w14:textId="77777777" w:rsidR="00C339A8" w:rsidRPr="00C339A8" w:rsidRDefault="00427027" w:rsidP="00C339A8">
            <w:pPr>
              <w:pStyle w:val="Footer"/>
              <w:jc w:val="right"/>
            </w:pPr>
            <w:r w:rsidRPr="00C339A8">
              <w:rPr>
                <w:rFonts w:ascii="Arial" w:hAnsi="Arial" w:cs="Arial"/>
                <w:i/>
                <w:iCs/>
                <w:sz w:val="16"/>
                <w:szCs w:val="16"/>
              </w:rPr>
              <w:fldChar w:fldCharType="begin"/>
            </w:r>
            <w:r w:rsidRPr="00C339A8">
              <w:rPr>
                <w:rFonts w:ascii="Arial" w:hAnsi="Arial" w:cs="Arial"/>
                <w:i/>
                <w:iCs/>
                <w:sz w:val="16"/>
                <w:szCs w:val="16"/>
              </w:rPr>
              <w:instrText xml:space="preserve"> DOCVARIABLE "Reference #" \* MERGEFORMAT </w:instrText>
            </w:r>
            <w:r w:rsidRPr="00C339A8">
              <w:rPr>
                <w:rFonts w:ascii="Arial" w:hAnsi="Arial" w:cs="Arial"/>
                <w:i/>
                <w:iCs/>
                <w:sz w:val="16"/>
                <w:szCs w:val="16"/>
              </w:rPr>
              <w:fldChar w:fldCharType="separate"/>
            </w:r>
            <w:r w:rsidRPr="00C339A8">
              <w:rPr>
                <w:rFonts w:ascii="Arial" w:hAnsi="Arial" w:cs="Arial"/>
                <w:i/>
                <w:iCs/>
                <w:sz w:val="16"/>
                <w:szCs w:val="16"/>
              </w:rPr>
              <w:t>ACC.FRM.6.045</w:t>
            </w:r>
            <w:r w:rsidRPr="00C339A8">
              <w:rPr>
                <w:rFonts w:ascii="Arial" w:hAnsi="Arial" w:cs="Arial"/>
                <w:i/>
                <w:iCs/>
                <w:sz w:val="16"/>
                <w:szCs w:val="16"/>
              </w:rPr>
              <w:fldChar w:fldCharType="end"/>
            </w:r>
            <w:r w:rsidRPr="00C339A8">
              <w:rPr>
                <w:rFonts w:ascii="Arial" w:hAnsi="Arial" w:cs="Arial"/>
                <w:i/>
                <w:iCs/>
                <w:sz w:val="16"/>
                <w:szCs w:val="16"/>
              </w:rPr>
              <w:t xml:space="preserve">, </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"Document Title" \* MERGEFORMAT </w:instrText>
            </w:r>
            <w:r w:rsidRPr="00C339A8">
              <w:rPr>
                <w:rFonts w:ascii="Arial" w:hAnsi="Arial" w:cs="Arial"/>
                <w:i/>
                <w:iCs/>
                <w:sz w:val="16"/>
                <w:szCs w:val="16"/>
              </w:rPr>
              <w:fldChar w:fldCharType="separate"/>
            </w:r>
            <w:r w:rsidRPr="00C339A8">
              <w:rPr>
                <w:rFonts w:ascii="Arial" w:hAnsi="Arial" w:cs="Arial"/>
                <w:i/>
                <w:iCs/>
                <w:sz w:val="16"/>
                <w:szCs w:val="16"/>
              </w:rPr>
              <w:t>Training and Competency Form: FACT-JACIE Standards, Version 8.0</w:t>
            </w:r>
            <w:r w:rsidRPr="00C339A8">
              <w:rPr>
                <w:rFonts w:ascii="Arial" w:hAnsi="Arial" w:cs="Arial"/>
                <w:i/>
                <w:iCs/>
                <w:sz w:val="16"/>
                <w:szCs w:val="16"/>
              </w:rPr>
              <w:fldChar w:fldCharType="end"/>
            </w:r>
            <w:r w:rsidRPr="00C339A8">
              <w:rPr>
                <w:rFonts w:ascii="Arial" w:hAnsi="Arial" w:cs="Arial"/>
                <w:i/>
                <w:iCs/>
                <w:sz w:val="16"/>
                <w:szCs w:val="16"/>
              </w:rPr>
              <w:t>, R</w:t>
            </w:r>
            <w:r w:rsidRPr="009A4C61">
              <w:rPr>
                <w:rFonts w:ascii="Arial" w:hAnsi="Arial" w:cs="Arial"/>
                <w:i/>
                <w:iCs/>
                <w:sz w:val="16"/>
                <w:szCs w:val="16"/>
              </w:rPr>
              <w:fldChar w:fldCharType="begin"/>
            </w:r>
            <w:r w:rsidRPr="009A4C61">
              <w:rPr>
                <w:rFonts w:ascii="Arial" w:hAnsi="Arial" w:cs="Arial"/>
                <w:i/>
                <w:iCs/>
                <w:sz w:val="16"/>
                <w:szCs w:val="16"/>
              </w:rPr>
              <w:instrText xml:space="preserve"> DOCVARIABLE "Version" \* MERGEFORMAT </w:instrText>
            </w:r>
            <w:r w:rsidRPr="009A4C61">
              <w:rPr>
                <w:rFonts w:ascii="Arial" w:hAnsi="Arial" w:cs="Arial"/>
                <w:i/>
                <w:iCs/>
                <w:sz w:val="16"/>
                <w:szCs w:val="16"/>
              </w:rPr>
              <w:fldChar w:fldCharType="separate"/>
            </w:r>
            <w:r w:rsidRPr="009A4C61">
              <w:rPr>
                <w:rFonts w:ascii="Arial" w:hAnsi="Arial" w:cs="Arial"/>
                <w:i/>
                <w:iCs/>
                <w:sz w:val="16"/>
                <w:szCs w:val="16"/>
              </w:rPr>
              <w:t>1</w:t>
            </w:r>
            <w:r w:rsidRPr="009A4C61">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05/16/2021</w:t>
            </w:r>
            <w:r w:rsidR="009A4C61" w:rsidRPr="009A4C61">
              <w:rPr>
                <w:rFonts w:ascii="Arial" w:hAnsi="Arial" w:cs="Arial"/>
                <w:i/>
                <w:iCs/>
                <w:sz w:val="16"/>
                <w:szCs w:val="16"/>
              </w:rPr>
              <w:fldChar w:fldCharType="end"/>
            </w:r>
            <w:r w:rsidRPr="00C339A8">
              <w:rPr>
                <w:rFonts w:ascii="Arial" w:hAnsi="Arial" w:cs="Arial"/>
                <w:i/>
                <w:iCs/>
                <w:sz w:val="16"/>
                <w:szCs w:val="16"/>
              </w:rPr>
              <w:tab/>
              <w:t xml:space="preserve">Page </w:t>
            </w:r>
            <w:r w:rsidRPr="00C339A8">
              <w:rPr>
                <w:rFonts w:ascii="Arial" w:hAnsi="Arial" w:cs="Arial"/>
                <w:i/>
                <w:iCs/>
                <w:sz w:val="16"/>
                <w:szCs w:val="16"/>
              </w:rPr>
              <w:fldChar w:fldCharType="begin"/>
            </w:r>
            <w:r w:rsidRPr="00C339A8">
              <w:rPr>
                <w:rFonts w:ascii="Arial" w:hAnsi="Arial" w:cs="Arial"/>
                <w:i/>
                <w:iCs/>
                <w:sz w:val="16"/>
                <w:szCs w:val="16"/>
              </w:rPr>
              <w:instrText xml:space="preserve"> PAGE </w:instrText>
            </w:r>
            <w:r w:rsidRPr="00C339A8">
              <w:rPr>
                <w:rFonts w:ascii="Arial" w:hAnsi="Arial" w:cs="Arial"/>
                <w:i/>
                <w:iCs/>
                <w:sz w:val="16"/>
                <w:szCs w:val="16"/>
              </w:rPr>
              <w:fldChar w:fldCharType="separate"/>
            </w:r>
            <w:r w:rsidRPr="00C339A8">
              <w:rPr>
                <w:rFonts w:ascii="Arial" w:hAnsi="Arial" w:cs="Arial"/>
                <w:i/>
                <w:iCs/>
                <w:sz w:val="16"/>
                <w:szCs w:val="16"/>
              </w:rPr>
              <w:t>1</w:t>
            </w:r>
            <w:r w:rsidRPr="00C339A8">
              <w:rPr>
                <w:rFonts w:ascii="Arial" w:hAnsi="Arial" w:cs="Arial"/>
                <w:i/>
                <w:iCs/>
                <w:sz w:val="16"/>
                <w:szCs w:val="16"/>
              </w:rPr>
              <w:fldChar w:fldCharType="end"/>
            </w:r>
            <w:r w:rsidRPr="00C339A8">
              <w:rPr>
                <w:rFonts w:ascii="Arial" w:hAnsi="Arial" w:cs="Arial"/>
                <w:i/>
                <w:iCs/>
                <w:sz w:val="16"/>
                <w:szCs w:val="16"/>
              </w:rPr>
              <w:t xml:space="preserve"> of </w:t>
            </w:r>
            <w:r w:rsidRPr="00C339A8">
              <w:rPr>
                <w:rFonts w:ascii="Arial" w:hAnsi="Arial" w:cs="Arial"/>
                <w:i/>
                <w:iCs/>
                <w:sz w:val="16"/>
                <w:szCs w:val="16"/>
              </w:rPr>
              <w:fldChar w:fldCharType="begin"/>
            </w:r>
            <w:r w:rsidRPr="00C339A8">
              <w:rPr>
                <w:rFonts w:ascii="Arial" w:hAnsi="Arial" w:cs="Arial"/>
                <w:i/>
                <w:iCs/>
                <w:sz w:val="16"/>
                <w:szCs w:val="16"/>
              </w:rPr>
              <w:instrText xml:space="preserve"> NUMPAGES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1BB9" w14:textId="77777777" w:rsidR="00000000" w:rsidRDefault="00427027">
      <w:pPr>
        <w:spacing w:after="0" w:line="240" w:lineRule="auto"/>
      </w:pPr>
      <w:r>
        <w:separator/>
      </w:r>
    </w:p>
  </w:footnote>
  <w:footnote w:type="continuationSeparator" w:id="0">
    <w:p w14:paraId="5D975057" w14:textId="77777777" w:rsidR="00000000" w:rsidRDefault="0042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8F64" w14:textId="77777777" w:rsidR="006E3F41" w:rsidRDefault="006E3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279" w14:textId="77777777" w:rsidR="00FA48F4" w:rsidRDefault="00FA48F4">
    <w:pPr>
      <w:pStyle w:val="Header"/>
    </w:pPr>
  </w:p>
  <w:p w14:paraId="0A4ED27A" w14:textId="77777777" w:rsidR="009D674D" w:rsidRDefault="009D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27C" w14:textId="1C5584CC" w:rsidR="00785135" w:rsidRDefault="00427027">
    <w:pPr>
      <w:pStyle w:val="Header"/>
    </w:pPr>
    <w:r>
      <w:rPr>
        <w:noProof/>
      </w:rPr>
      <w:drawing>
        <wp:inline distT="0" distB="0" distL="0" distR="0" wp14:anchorId="507D0E28" wp14:editId="6894FB2E">
          <wp:extent cx="1703835" cy="499873"/>
          <wp:effectExtent l="0" t="0" r="0" b="0"/>
          <wp:docPr id="1" name="Picture 1" descr="CorpImageID_0_1_4%7c4%7c0%7c2%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pImageID_0_1_4%7c4%7c0%7c2%7c1%7c"/>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rpImageID_0" w:val="1_4%7c4%7c0%7c2%7c1%7c"/>
    <w:docVar w:name="Document Title" w:val="Training and Competency Form: FACT-JACIE Standards, Version 8.0"/>
    <w:docVar w:name="Effective Date" w:val="05/16/2021"/>
    <w:docVar w:name="Last External Review Date" w:val="03/01/2018"/>
    <w:docVar w:name="Reference #" w:val="ACC.FRM.6.045"/>
    <w:docVar w:name="Version" w:val="1"/>
  </w:docVars>
  <w:rsids>
    <w:rsidRoot w:val="00893745"/>
    <w:rsid w:val="00026D28"/>
    <w:rsid w:val="00033B9A"/>
    <w:rsid w:val="000448EE"/>
    <w:rsid w:val="0008428B"/>
    <w:rsid w:val="000C05DC"/>
    <w:rsid w:val="001030E4"/>
    <w:rsid w:val="001866AE"/>
    <w:rsid w:val="00187792"/>
    <w:rsid w:val="001E3D09"/>
    <w:rsid w:val="001F51BA"/>
    <w:rsid w:val="00217D9D"/>
    <w:rsid w:val="00242821"/>
    <w:rsid w:val="003E71E8"/>
    <w:rsid w:val="00405D68"/>
    <w:rsid w:val="00411445"/>
    <w:rsid w:val="00422336"/>
    <w:rsid w:val="00427027"/>
    <w:rsid w:val="004B5626"/>
    <w:rsid w:val="004B5C77"/>
    <w:rsid w:val="004C3730"/>
    <w:rsid w:val="004D6406"/>
    <w:rsid w:val="004E1116"/>
    <w:rsid w:val="004E2386"/>
    <w:rsid w:val="00521B8F"/>
    <w:rsid w:val="00540E73"/>
    <w:rsid w:val="00622928"/>
    <w:rsid w:val="00667324"/>
    <w:rsid w:val="00682246"/>
    <w:rsid w:val="0068787E"/>
    <w:rsid w:val="00694FBD"/>
    <w:rsid w:val="006B1BA6"/>
    <w:rsid w:val="006C3AD7"/>
    <w:rsid w:val="006C66E2"/>
    <w:rsid w:val="006D38EA"/>
    <w:rsid w:val="006E0334"/>
    <w:rsid w:val="006E3F41"/>
    <w:rsid w:val="00750486"/>
    <w:rsid w:val="00785135"/>
    <w:rsid w:val="00785487"/>
    <w:rsid w:val="007B10DC"/>
    <w:rsid w:val="007E027F"/>
    <w:rsid w:val="007E345B"/>
    <w:rsid w:val="00825C3C"/>
    <w:rsid w:val="00893745"/>
    <w:rsid w:val="00922A66"/>
    <w:rsid w:val="00944710"/>
    <w:rsid w:val="00962018"/>
    <w:rsid w:val="009A4C61"/>
    <w:rsid w:val="009D674D"/>
    <w:rsid w:val="009D78EB"/>
    <w:rsid w:val="00A379C2"/>
    <w:rsid w:val="00A608B8"/>
    <w:rsid w:val="00A64E38"/>
    <w:rsid w:val="00A967A2"/>
    <w:rsid w:val="00AA72B8"/>
    <w:rsid w:val="00AD0AD7"/>
    <w:rsid w:val="00AD3BBD"/>
    <w:rsid w:val="00B40332"/>
    <w:rsid w:val="00C1685E"/>
    <w:rsid w:val="00C339A8"/>
    <w:rsid w:val="00C34E2F"/>
    <w:rsid w:val="00D52BAE"/>
    <w:rsid w:val="00D62120"/>
    <w:rsid w:val="00D9749D"/>
    <w:rsid w:val="00DA1436"/>
    <w:rsid w:val="00DE2986"/>
    <w:rsid w:val="00E0767A"/>
    <w:rsid w:val="00E11F2E"/>
    <w:rsid w:val="00E920E6"/>
    <w:rsid w:val="00F539D1"/>
    <w:rsid w:val="00FA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D153"/>
  <w15:chartTrackingRefBased/>
  <w15:docId w15:val="{07E5D4B9-C014-4814-B924-F84BD8E5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45"/>
  </w:style>
  <w:style w:type="paragraph" w:styleId="Footer">
    <w:name w:val="footer"/>
    <w:basedOn w:val="Normal"/>
    <w:link w:val="FooterChar"/>
    <w:uiPriority w:val="99"/>
    <w:unhideWhenUsed/>
    <w:rsid w:val="0089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45"/>
  </w:style>
  <w:style w:type="table" w:styleId="TableGrid">
    <w:name w:val="Table Grid"/>
    <w:basedOn w:val="TableNormal"/>
    <w:uiPriority w:val="39"/>
    <w:rsid w:val="0089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E4"/>
    <w:rPr>
      <w:rFonts w:ascii="Segoe UI" w:hAnsi="Segoe UI" w:cs="Segoe UI"/>
      <w:sz w:val="18"/>
      <w:szCs w:val="18"/>
    </w:rPr>
  </w:style>
  <w:style w:type="character" w:styleId="CommentReference">
    <w:name w:val="annotation reference"/>
    <w:basedOn w:val="DefaultParagraphFont"/>
    <w:uiPriority w:val="99"/>
    <w:semiHidden/>
    <w:unhideWhenUsed/>
    <w:rsid w:val="00521B8F"/>
    <w:rPr>
      <w:sz w:val="16"/>
      <w:szCs w:val="16"/>
    </w:rPr>
  </w:style>
  <w:style w:type="paragraph" w:styleId="CommentText">
    <w:name w:val="annotation text"/>
    <w:basedOn w:val="Normal"/>
    <w:link w:val="CommentTextChar"/>
    <w:uiPriority w:val="99"/>
    <w:semiHidden/>
    <w:unhideWhenUsed/>
    <w:rsid w:val="00521B8F"/>
    <w:pPr>
      <w:spacing w:line="240" w:lineRule="auto"/>
    </w:pPr>
    <w:rPr>
      <w:sz w:val="20"/>
      <w:szCs w:val="20"/>
    </w:rPr>
  </w:style>
  <w:style w:type="character" w:customStyle="1" w:styleId="CommentTextChar">
    <w:name w:val="Comment Text Char"/>
    <w:basedOn w:val="DefaultParagraphFont"/>
    <w:link w:val="CommentText"/>
    <w:uiPriority w:val="99"/>
    <w:semiHidden/>
    <w:rsid w:val="00521B8F"/>
    <w:rPr>
      <w:sz w:val="20"/>
      <w:szCs w:val="20"/>
    </w:rPr>
  </w:style>
  <w:style w:type="paragraph" w:styleId="CommentSubject">
    <w:name w:val="annotation subject"/>
    <w:basedOn w:val="CommentText"/>
    <w:next w:val="CommentText"/>
    <w:link w:val="CommentSubjectChar"/>
    <w:uiPriority w:val="99"/>
    <w:semiHidden/>
    <w:unhideWhenUsed/>
    <w:rsid w:val="00521B8F"/>
    <w:rPr>
      <w:b/>
      <w:bCs/>
    </w:rPr>
  </w:style>
  <w:style w:type="character" w:customStyle="1" w:styleId="CommentSubjectChar">
    <w:name w:val="Comment Subject Char"/>
    <w:basedOn w:val="CommentTextChar"/>
    <w:link w:val="CommentSubject"/>
    <w:uiPriority w:val="99"/>
    <w:semiHidden/>
    <w:rsid w:val="00521B8F"/>
    <w:rPr>
      <w:b/>
      <w:bCs/>
      <w:sz w:val="20"/>
      <w:szCs w:val="20"/>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3" ma:contentTypeDescription="Create a new document." ma:contentTypeScope="" ma:versionID="3777b16a0546b902a0029be8458a1177">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c26c047220f63e5c15b294b412170e41"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C98B8-65F0-45E3-957B-85E6BD623100}"/>
</file>

<file path=customXml/itemProps2.xml><?xml version="1.0" encoding="utf-8"?>
<ds:datastoreItem xmlns:ds="http://schemas.openxmlformats.org/officeDocument/2006/customXml" ds:itemID="{A4C0B8CA-AD2E-4CC7-8077-07E6158567F7}">
  <ds:schemaRefs>
    <ds:schemaRef ds:uri="http://schemas.microsoft.com/sharepoint/v3/contenttype/forms"/>
  </ds:schemaRefs>
</ds:datastoreItem>
</file>

<file path=customXml/itemProps3.xml><?xml version="1.0" encoding="utf-8"?>
<ds:datastoreItem xmlns:ds="http://schemas.openxmlformats.org/officeDocument/2006/customXml" ds:itemID="{BA34252D-2496-4348-B123-7C873696D69A}">
  <ds:schemaRefs>
    <ds:schemaRef ds:uri="http://schemas.openxmlformats.org/officeDocument/2006/bibliography"/>
  </ds:schemaRefs>
</ds:datastoreItem>
</file>

<file path=customXml/itemProps4.xml><?xml version="1.0" encoding="utf-8"?>
<ds:datastoreItem xmlns:ds="http://schemas.openxmlformats.org/officeDocument/2006/customXml" ds:itemID="{B27651ED-B27B-4B0F-BB4A-80A4EB08C1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Gallardo</dc:creator>
  <cp:lastModifiedBy>Heather Conway</cp:lastModifiedBy>
  <cp:revision>2</cp:revision>
  <dcterms:created xsi:type="dcterms:W3CDTF">2022-04-03T20:42:00Z</dcterms:created>
  <dcterms:modified xsi:type="dcterms:W3CDTF">2022-04-03T20:42:00Z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ies>
</file>